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EE755" w14:textId="77777777" w:rsidR="00486511" w:rsidRPr="00230093" w:rsidRDefault="00486511" w:rsidP="00661D04">
      <w:pPr>
        <w:spacing w:line="240" w:lineRule="auto"/>
        <w:ind w:firstLine="708"/>
        <w:jc w:val="right"/>
        <w:rPr>
          <w:rFonts w:ascii="Times New Roman" w:hAnsi="Times New Roman" w:cs="Times New Roman"/>
          <w:b/>
        </w:rPr>
      </w:pPr>
      <w:r w:rsidRPr="00230093">
        <w:rPr>
          <w:rFonts w:ascii="Times New Roman" w:hAnsi="Times New Roman" w:cs="Times New Roman"/>
          <w:b/>
        </w:rPr>
        <w:t>Приложение № 3а</w:t>
      </w:r>
    </w:p>
    <w:p w14:paraId="5DBD7FEB" w14:textId="77777777" w:rsidR="009451BE" w:rsidRDefault="00230093" w:rsidP="000138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23009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Ключови индикатори за изпълнение на политиките и </w:t>
      </w:r>
      <w:r w:rsidR="00A8087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целеви стойности </w:t>
      </w:r>
    </w:p>
    <w:p w14:paraId="49E1449E" w14:textId="5A8885E8" w:rsidR="000138CE" w:rsidRDefault="00A80870" w:rsidP="00A420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за</w:t>
      </w:r>
      <w:r w:rsidR="00EF5C6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периода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202</w:t>
      </w:r>
      <w:r w:rsidR="00DD4897"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 w:rsidR="009451BE">
        <w:rPr>
          <w:rFonts w:ascii="Times New Roman" w:hAnsi="Times New Roman" w:cs="Times New Roman"/>
          <w:b/>
          <w:sz w:val="24"/>
          <w:szCs w:val="24"/>
          <w:lang w:eastAsia="bg-BG"/>
        </w:rPr>
        <w:t>-202</w:t>
      </w:r>
      <w:r w:rsidR="00054301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230093" w:rsidRPr="0023009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г. </w:t>
      </w:r>
    </w:p>
    <w:p w14:paraId="621250F7" w14:textId="77777777" w:rsidR="00230093" w:rsidRPr="009451BE" w:rsidRDefault="00230093" w:rsidP="00A420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451B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на </w:t>
      </w:r>
      <w:r w:rsidR="00D20DF8" w:rsidRPr="009451B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Министерството на околната среда и водите </w:t>
      </w:r>
    </w:p>
    <w:p w14:paraId="73B8FF53" w14:textId="77777777" w:rsidR="00230093" w:rsidRDefault="00230093" w:rsidP="00661D0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1B280D10" w14:textId="77777777" w:rsidR="00022757" w:rsidRPr="00EF5C62" w:rsidRDefault="00D545AA" w:rsidP="00661D04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5C62">
        <w:rPr>
          <w:rFonts w:ascii="Times New Roman" w:hAnsi="Times New Roman" w:cs="Times New Roman"/>
          <w:b/>
          <w:i/>
          <w:sz w:val="24"/>
          <w:szCs w:val="24"/>
        </w:rPr>
        <w:t xml:space="preserve">Област на политика: </w:t>
      </w:r>
      <w:r w:rsidR="00D20DF8" w:rsidRPr="00EF5C62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6A89E6AB" w14:textId="77777777" w:rsidR="00091C5B" w:rsidRPr="00FE72C1" w:rsidRDefault="00D20DF8" w:rsidP="00661D0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FE72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Политика в областта на опазването и ползването на компонентите на околната среда</w:t>
      </w:r>
    </w:p>
    <w:p w14:paraId="47630F61" w14:textId="77777777" w:rsidR="00766A55" w:rsidRPr="00EF5C62" w:rsidRDefault="00091C5B" w:rsidP="00661D04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5C62">
        <w:rPr>
          <w:rFonts w:ascii="Times New Roman" w:hAnsi="Times New Roman" w:cs="Times New Roman"/>
          <w:b/>
          <w:i/>
          <w:sz w:val="24"/>
          <w:szCs w:val="24"/>
        </w:rPr>
        <w:t>Кратко описание на обхвата на област</w:t>
      </w:r>
      <w:r w:rsidR="00766A55" w:rsidRPr="00EF5C62">
        <w:rPr>
          <w:rFonts w:ascii="Times New Roman" w:hAnsi="Times New Roman" w:cs="Times New Roman"/>
          <w:b/>
          <w:i/>
          <w:sz w:val="24"/>
          <w:szCs w:val="24"/>
        </w:rPr>
        <w:t>та на политиката</w:t>
      </w:r>
      <w:r w:rsidRPr="00EF5C62">
        <w:rPr>
          <w:rFonts w:ascii="Times New Roman" w:hAnsi="Times New Roman" w:cs="Times New Roman"/>
          <w:b/>
          <w:i/>
          <w:sz w:val="24"/>
          <w:szCs w:val="24"/>
        </w:rPr>
        <w:t>, за ко</w:t>
      </w:r>
      <w:r w:rsidR="00766A55" w:rsidRPr="00EF5C62">
        <w:rPr>
          <w:rFonts w:ascii="Times New Roman" w:hAnsi="Times New Roman" w:cs="Times New Roman"/>
          <w:b/>
          <w:i/>
          <w:sz w:val="24"/>
          <w:szCs w:val="24"/>
        </w:rPr>
        <w:t>ято</w:t>
      </w:r>
      <w:r w:rsidRPr="00EF5C62">
        <w:rPr>
          <w:rFonts w:ascii="Times New Roman" w:hAnsi="Times New Roman" w:cs="Times New Roman"/>
          <w:b/>
          <w:i/>
          <w:sz w:val="24"/>
          <w:szCs w:val="24"/>
        </w:rPr>
        <w:t xml:space="preserve"> ПРБ отговаря</w:t>
      </w:r>
    </w:p>
    <w:p w14:paraId="3E51CD3C" w14:textId="289449F8" w:rsidR="00D20DF8" w:rsidRDefault="00912E47" w:rsidP="00661D0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7">
        <w:rPr>
          <w:rFonts w:ascii="Times New Roman" w:hAnsi="Times New Roman" w:cs="Times New Roman"/>
          <w:sz w:val="24"/>
          <w:szCs w:val="24"/>
        </w:rPr>
        <w:t xml:space="preserve">Политиката в областта на опазването и ползването на компонентите на околната среда е насочена към опазване, съхранение и увеличаване на природния капитал, подобряване на управлението на отпадъците, преход към ефективна кръгова и конкурентоспособна нисковъглеродна икономика от гледна точка на използването на ресурсите и провеждане на устойчива политика за постигане на здравословна околна среда и защита на населението от свързани с околната среда въздействия. Тя обхваща </w:t>
      </w:r>
      <w:r w:rsidR="000138CE" w:rsidRPr="00022757">
        <w:rPr>
          <w:rFonts w:ascii="Times New Roman" w:hAnsi="Times New Roman" w:cs="Times New Roman"/>
          <w:sz w:val="24"/>
          <w:szCs w:val="24"/>
        </w:rPr>
        <w:t>развиването</w:t>
      </w:r>
      <w:r w:rsidR="000138CE">
        <w:rPr>
          <w:rFonts w:ascii="Times New Roman" w:hAnsi="Times New Roman" w:cs="Times New Roman"/>
          <w:sz w:val="24"/>
          <w:szCs w:val="24"/>
        </w:rPr>
        <w:t xml:space="preserve"> и</w:t>
      </w:r>
      <w:r w:rsidR="000138CE" w:rsidRPr="00022757">
        <w:rPr>
          <w:rFonts w:ascii="Times New Roman" w:hAnsi="Times New Roman" w:cs="Times New Roman"/>
          <w:sz w:val="24"/>
          <w:szCs w:val="24"/>
        </w:rPr>
        <w:t xml:space="preserve"> </w:t>
      </w:r>
      <w:r w:rsidRPr="00022757">
        <w:rPr>
          <w:rFonts w:ascii="Times New Roman" w:hAnsi="Times New Roman" w:cs="Times New Roman"/>
          <w:sz w:val="24"/>
          <w:szCs w:val="24"/>
        </w:rPr>
        <w:t>прилагането на комплекс от инструменти, които допринасят във висока степен за опазване чистотата на водите, почвите</w:t>
      </w:r>
      <w:r w:rsidR="004F295E">
        <w:rPr>
          <w:rFonts w:ascii="Times New Roman" w:hAnsi="Times New Roman" w:cs="Times New Roman"/>
          <w:sz w:val="24"/>
          <w:szCs w:val="24"/>
        </w:rPr>
        <w:t>,</w:t>
      </w:r>
      <w:r w:rsidRPr="00022757">
        <w:rPr>
          <w:rFonts w:ascii="Times New Roman" w:hAnsi="Times New Roman" w:cs="Times New Roman"/>
          <w:sz w:val="24"/>
          <w:szCs w:val="24"/>
        </w:rPr>
        <w:t xml:space="preserve"> въздуха</w:t>
      </w:r>
      <w:r w:rsidR="004F295E" w:rsidRPr="004F295E">
        <w:t xml:space="preserve"> </w:t>
      </w:r>
      <w:r w:rsidR="004F295E" w:rsidRPr="004F295E">
        <w:rPr>
          <w:rFonts w:ascii="Times New Roman" w:hAnsi="Times New Roman" w:cs="Times New Roman"/>
          <w:sz w:val="24"/>
          <w:szCs w:val="24"/>
        </w:rPr>
        <w:t>и биологичното разнообразие</w:t>
      </w:r>
      <w:r w:rsidRPr="00022757">
        <w:rPr>
          <w:rFonts w:ascii="Times New Roman" w:hAnsi="Times New Roman" w:cs="Times New Roman"/>
          <w:sz w:val="24"/>
          <w:szCs w:val="24"/>
        </w:rPr>
        <w:t>, предотврат</w:t>
      </w:r>
      <w:r w:rsidR="005B405C">
        <w:rPr>
          <w:rFonts w:ascii="Times New Roman" w:hAnsi="Times New Roman" w:cs="Times New Roman"/>
          <w:sz w:val="24"/>
          <w:szCs w:val="24"/>
        </w:rPr>
        <w:t>яване</w:t>
      </w:r>
      <w:r w:rsidR="00EF5C62">
        <w:rPr>
          <w:rFonts w:ascii="Times New Roman" w:hAnsi="Times New Roman" w:cs="Times New Roman"/>
          <w:sz w:val="24"/>
          <w:szCs w:val="24"/>
        </w:rPr>
        <w:t xml:space="preserve"> на</w:t>
      </w:r>
      <w:r w:rsidR="005B405C">
        <w:rPr>
          <w:rFonts w:ascii="Times New Roman" w:hAnsi="Times New Roman" w:cs="Times New Roman"/>
          <w:sz w:val="24"/>
          <w:szCs w:val="24"/>
        </w:rPr>
        <w:t xml:space="preserve"> образуването на отпадъци</w:t>
      </w:r>
      <w:r w:rsidRPr="00022757">
        <w:rPr>
          <w:rFonts w:ascii="Times New Roman" w:hAnsi="Times New Roman" w:cs="Times New Roman"/>
          <w:sz w:val="24"/>
          <w:szCs w:val="24"/>
        </w:rPr>
        <w:t xml:space="preserve"> и</w:t>
      </w:r>
      <w:r w:rsidR="005B405C">
        <w:rPr>
          <w:rFonts w:ascii="Times New Roman" w:hAnsi="Times New Roman" w:cs="Times New Roman"/>
          <w:sz w:val="24"/>
          <w:szCs w:val="24"/>
        </w:rPr>
        <w:t xml:space="preserve"> </w:t>
      </w:r>
      <w:r w:rsidR="005B405C" w:rsidRPr="005B405C">
        <w:rPr>
          <w:rFonts w:ascii="Times New Roman" w:hAnsi="Times New Roman" w:cs="Times New Roman"/>
          <w:sz w:val="24"/>
          <w:szCs w:val="24"/>
        </w:rPr>
        <w:t>насърчаване на повторната употреба и оползотворяването им чрез рециклиране</w:t>
      </w:r>
      <w:r w:rsidRPr="00022757">
        <w:rPr>
          <w:rFonts w:ascii="Times New Roman" w:hAnsi="Times New Roman" w:cs="Times New Roman"/>
          <w:sz w:val="24"/>
          <w:szCs w:val="24"/>
        </w:rPr>
        <w:t xml:space="preserve">, </w:t>
      </w:r>
      <w:r w:rsidR="00C91FB4" w:rsidRPr="00C91FB4">
        <w:rPr>
          <w:rFonts w:ascii="Times New Roman" w:hAnsi="Times New Roman" w:cs="Times New Roman"/>
          <w:sz w:val="24"/>
          <w:szCs w:val="24"/>
        </w:rPr>
        <w:t xml:space="preserve">повишаване на устойчивостта към неблагоприятните последици от изменението на климата </w:t>
      </w:r>
      <w:r w:rsidRPr="005B425D">
        <w:rPr>
          <w:rFonts w:ascii="Times New Roman" w:hAnsi="Times New Roman" w:cs="Times New Roman"/>
          <w:sz w:val="24"/>
          <w:szCs w:val="24"/>
        </w:rPr>
        <w:t xml:space="preserve"> и ефективно използване на ресурсите в икономическия цикъл на страната.</w:t>
      </w:r>
    </w:p>
    <w:p w14:paraId="633B5E32" w14:textId="77777777" w:rsidR="00AE0B4B" w:rsidRPr="009A00BA" w:rsidRDefault="00766A55" w:rsidP="00661D04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00BA">
        <w:rPr>
          <w:rFonts w:ascii="Times New Roman" w:hAnsi="Times New Roman" w:cs="Times New Roman"/>
          <w:b/>
          <w:i/>
          <w:sz w:val="24"/>
          <w:szCs w:val="24"/>
        </w:rPr>
        <w:t>Отговорност</w:t>
      </w:r>
      <w:r w:rsidR="00D545AA" w:rsidRPr="009A00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E0B4B" w:rsidRPr="009A00BA">
        <w:rPr>
          <w:rFonts w:ascii="Times New Roman" w:hAnsi="Times New Roman" w:cs="Times New Roman"/>
          <w:b/>
          <w:i/>
          <w:sz w:val="24"/>
          <w:szCs w:val="24"/>
        </w:rPr>
        <w:t>за</w:t>
      </w:r>
      <w:r w:rsidR="00091C5B" w:rsidRPr="009A00BA">
        <w:rPr>
          <w:rFonts w:ascii="Times New Roman" w:hAnsi="Times New Roman" w:cs="Times New Roman"/>
          <w:b/>
          <w:i/>
          <w:sz w:val="24"/>
          <w:szCs w:val="24"/>
        </w:rPr>
        <w:t xml:space="preserve"> разпределението на публичните разходи</w:t>
      </w:r>
      <w:r w:rsidR="00AE0B4B" w:rsidRPr="009A00BA">
        <w:rPr>
          <w:rFonts w:ascii="Times New Roman" w:hAnsi="Times New Roman" w:cs="Times New Roman"/>
          <w:b/>
          <w:i/>
          <w:sz w:val="24"/>
          <w:szCs w:val="24"/>
        </w:rPr>
        <w:t xml:space="preserve"> за политиката</w:t>
      </w:r>
    </w:p>
    <w:p w14:paraId="26F15339" w14:textId="5E522825" w:rsidR="009A00BA" w:rsidRPr="009A00BA" w:rsidRDefault="005E27CE" w:rsidP="009A00BA">
      <w:pPr>
        <w:pStyle w:val="ListParagraph"/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green"/>
        </w:rPr>
      </w:pPr>
      <w:r w:rsidRPr="00DD4897">
        <w:rPr>
          <w:rFonts w:ascii="Times New Roman" w:hAnsi="Times New Roman" w:cs="Times New Roman"/>
          <w:b/>
          <w:i/>
          <w:sz w:val="24"/>
          <w:szCs w:val="24"/>
          <w:highlight w:val="green"/>
        </w:rPr>
        <w:t xml:space="preserve">     </w:t>
      </w:r>
    </w:p>
    <w:tbl>
      <w:tblPr>
        <w:tblW w:w="102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900"/>
        <w:gridCol w:w="1200"/>
        <w:gridCol w:w="1200"/>
        <w:gridCol w:w="1240"/>
        <w:gridCol w:w="1180"/>
      </w:tblGrid>
      <w:tr w:rsidR="009A00BA" w:rsidRPr="009A00BA" w14:paraId="4C574705" w14:textId="77777777" w:rsidTr="009A00BA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5FCA5CB9" w14:textId="77777777" w:rsidR="009A00BA" w:rsidRPr="009A00BA" w:rsidRDefault="009A00BA" w:rsidP="009A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715411B3" w14:textId="77777777" w:rsidR="009A00BA" w:rsidRPr="009A00BA" w:rsidRDefault="009A00BA" w:rsidP="009A0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413800D4" w14:textId="77777777" w:rsidR="009A00BA" w:rsidRPr="009A00BA" w:rsidRDefault="009A00BA" w:rsidP="009A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Закон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1C84A826" w14:textId="77777777" w:rsidR="009A00BA" w:rsidRPr="009A00BA" w:rsidRDefault="009A00BA" w:rsidP="009A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Проект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28337932" w14:textId="77777777" w:rsidR="009A00BA" w:rsidRPr="009A00BA" w:rsidRDefault="009A00BA" w:rsidP="009A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Прогноза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59BD4044" w14:textId="77777777" w:rsidR="009A00BA" w:rsidRPr="009A00BA" w:rsidRDefault="009A00BA" w:rsidP="009A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Прогноза</w:t>
            </w:r>
          </w:p>
        </w:tc>
      </w:tr>
      <w:tr w:rsidR="009A00BA" w:rsidRPr="009A00BA" w14:paraId="4DBC504B" w14:textId="77777777" w:rsidTr="009A00BA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4B4C6E3F" w14:textId="77777777" w:rsidR="009A00BA" w:rsidRPr="009A00BA" w:rsidRDefault="009A00BA" w:rsidP="009A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4E2E4226" w14:textId="77777777" w:rsidR="009A00BA" w:rsidRPr="009A00BA" w:rsidRDefault="009A00BA" w:rsidP="009A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1900.01.00 - Политика в областта на опазването и ползването на компонентите на околната среда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5FAC8EC9" w14:textId="77777777" w:rsidR="009A00BA" w:rsidRPr="009A00BA" w:rsidRDefault="009A00BA" w:rsidP="009A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79EE8CD5" w14:textId="77777777" w:rsidR="009A00BA" w:rsidRPr="009A00BA" w:rsidRDefault="009A00BA" w:rsidP="009A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2026 г.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4F9DC316" w14:textId="77777777" w:rsidR="009A00BA" w:rsidRPr="009A00BA" w:rsidRDefault="009A00BA" w:rsidP="009A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2027 г.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7251F8A2" w14:textId="77777777" w:rsidR="009A00BA" w:rsidRPr="009A00BA" w:rsidRDefault="009A00BA" w:rsidP="009A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2028 г.</w:t>
            </w:r>
          </w:p>
        </w:tc>
      </w:tr>
      <w:tr w:rsidR="009A00BA" w:rsidRPr="009A00BA" w14:paraId="53D2BA03" w14:textId="77777777" w:rsidTr="009A00BA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12762" w14:textId="77777777" w:rsidR="009A00BA" w:rsidRPr="009A00BA" w:rsidRDefault="009A00BA" w:rsidP="009A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0C826" w14:textId="77777777" w:rsidR="009A00BA" w:rsidRPr="009A00BA" w:rsidRDefault="009A00BA" w:rsidP="009A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B22B5" w14:textId="77777777" w:rsidR="009A00BA" w:rsidRPr="009A00BA" w:rsidRDefault="009A00BA" w:rsidP="009A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F6FD8" w14:textId="77777777" w:rsidR="009A00BA" w:rsidRPr="009A00BA" w:rsidRDefault="009A00BA" w:rsidP="009A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26F23" w14:textId="77777777" w:rsidR="009A00BA" w:rsidRPr="009A00BA" w:rsidRDefault="009A00BA" w:rsidP="009A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E5800" w14:textId="77777777" w:rsidR="009A00BA" w:rsidRPr="009A00BA" w:rsidRDefault="009A00BA" w:rsidP="009A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5</w:t>
            </w:r>
          </w:p>
        </w:tc>
      </w:tr>
      <w:tr w:rsidR="009A00BA" w:rsidRPr="009A00BA" w14:paraId="6603EF7E" w14:textId="77777777" w:rsidTr="009A00BA">
        <w:trPr>
          <w:trHeight w:val="9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6DFE7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88074" w14:textId="77777777" w:rsidR="009A00BA" w:rsidRPr="009A00BA" w:rsidRDefault="009A00BA" w:rsidP="009A0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Консолидирани разходи в област на политиката по опазването и ползването на компонентите на околната среда, които МОСВ разходва пряко чрез бюджета и отговаря за разпределението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4AC52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31 070,9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398E2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29 872,4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D00CD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28 866,4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48520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28 672,8</w:t>
            </w:r>
          </w:p>
        </w:tc>
      </w:tr>
      <w:tr w:rsidR="009A00BA" w:rsidRPr="009A00BA" w14:paraId="23D7B2A5" w14:textId="77777777" w:rsidTr="009A00BA">
        <w:trPr>
          <w:trHeight w:val="97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7B0EE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B737B" w14:textId="77777777" w:rsidR="009A00BA" w:rsidRPr="009A00BA" w:rsidRDefault="009A00BA" w:rsidP="009A0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Консолидирани разходи в област на политиката по опазването и ползването на компонентите на околната среда, финансирани по други бюджети и сметки за средства от ЕС, в т.ч.: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9E110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38 582,6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C2989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297 359,4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24DF4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384 692,1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553AC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383 157,6</w:t>
            </w:r>
          </w:p>
        </w:tc>
      </w:tr>
      <w:tr w:rsidR="009A00BA" w:rsidRPr="009A00BA" w14:paraId="68C5752E" w14:textId="77777777" w:rsidTr="009A00BA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D3085" w14:textId="77777777" w:rsidR="009A00BA" w:rsidRPr="009A00BA" w:rsidRDefault="009A00BA" w:rsidP="009A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B2A38" w14:textId="77777777" w:rsidR="009A00BA" w:rsidRPr="009A00BA" w:rsidRDefault="009A00BA" w:rsidP="009A00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bg-BG"/>
              </w:rPr>
              <w:t>Централен бюджет - капиталови разходи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F8042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83C9D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A4EAC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8C4DE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</w:tr>
      <w:tr w:rsidR="009A00BA" w:rsidRPr="009A00BA" w14:paraId="732B8A94" w14:textId="77777777" w:rsidTr="009A00BA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D46BD" w14:textId="77777777" w:rsidR="009A00BA" w:rsidRPr="009A00BA" w:rsidRDefault="009A00BA" w:rsidP="009A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FFC97B" w14:textId="77777777" w:rsidR="009A00BA" w:rsidRPr="009A00BA" w:rsidRDefault="009A00BA" w:rsidP="009A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>Предприятие за управление на дейностите по опазване на околната среда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1413C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32 882,0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0748F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58 577,3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48304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36 635,3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30DF6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37 035,3</w:t>
            </w:r>
          </w:p>
        </w:tc>
      </w:tr>
      <w:tr w:rsidR="009A00BA" w:rsidRPr="009A00BA" w14:paraId="11FB0780" w14:textId="77777777" w:rsidTr="009A00BA">
        <w:trPr>
          <w:trHeight w:val="43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04567" w14:textId="77777777" w:rsidR="009A00BA" w:rsidRPr="009A00BA" w:rsidRDefault="009A00BA" w:rsidP="009A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236127" w14:textId="77777777" w:rsidR="009A00BA" w:rsidRPr="009A00BA" w:rsidRDefault="009A00BA" w:rsidP="009A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>Българска академия на науките - трансфер от МОСВ и МОН - трансфер от МОСВ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2DBC1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345,1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532A3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345,1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4618C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345,1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EF288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345,1</w:t>
            </w:r>
          </w:p>
        </w:tc>
      </w:tr>
      <w:tr w:rsidR="009A00BA" w:rsidRPr="009A00BA" w14:paraId="7FC65608" w14:textId="77777777" w:rsidTr="009A00BA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B86E6" w14:textId="77777777" w:rsidR="009A00BA" w:rsidRPr="009A00BA" w:rsidRDefault="009A00BA" w:rsidP="009A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5317BE" w14:textId="77777777" w:rsidR="009A00BA" w:rsidRPr="009A00BA" w:rsidRDefault="009A00BA" w:rsidP="009A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>ОП "Околна среда 2014-2020 г.";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2CD54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C12A4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3F29E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F9DD2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</w:tr>
      <w:tr w:rsidR="009A00BA" w:rsidRPr="009A00BA" w14:paraId="0F6494BB" w14:textId="77777777" w:rsidTr="009A00BA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F5B74" w14:textId="77777777" w:rsidR="009A00BA" w:rsidRPr="009A00BA" w:rsidRDefault="009A00BA" w:rsidP="009A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C4565E" w14:textId="77777777" w:rsidR="009A00BA" w:rsidRPr="009A00BA" w:rsidRDefault="009A00BA" w:rsidP="009A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 ОП "Околна среда 2021-2027 г."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23D47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57A46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235 018,1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0B315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345 182,6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31CCC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345 748,5</w:t>
            </w:r>
          </w:p>
        </w:tc>
      </w:tr>
      <w:tr w:rsidR="009A00BA" w:rsidRPr="009A00BA" w14:paraId="70F295A5" w14:textId="77777777" w:rsidTr="009A00BA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A7C83" w14:textId="77777777" w:rsidR="009A00BA" w:rsidRPr="009A00BA" w:rsidRDefault="009A00BA" w:rsidP="009A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77785E" w14:textId="77777777" w:rsidR="009A00BA" w:rsidRPr="009A00BA" w:rsidRDefault="009A00BA" w:rsidP="009A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>Програма за отстраняване на минали екологични щети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192A0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5 112,9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2F438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FD7FE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E0855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</w:tr>
      <w:tr w:rsidR="009A00BA" w:rsidRPr="009A00BA" w14:paraId="07FC7997" w14:textId="77777777" w:rsidTr="009A00BA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3C2F2" w14:textId="77777777" w:rsidR="009A00BA" w:rsidRPr="009A00BA" w:rsidRDefault="009A00BA" w:rsidP="009A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3A75E2" w14:textId="77777777" w:rsidR="009A00BA" w:rsidRPr="009A00BA" w:rsidRDefault="009A00BA" w:rsidP="009A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>Национален доверителен фонд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9533F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242,6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B39FB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3 369,4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C1E76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2 490,0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976BA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</w:tr>
      <w:tr w:rsidR="009A00BA" w:rsidRPr="009A00BA" w14:paraId="2AB3B3A6" w14:textId="77777777" w:rsidTr="009A00BA">
        <w:trPr>
          <w:trHeight w:val="64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15C49" w14:textId="77777777" w:rsidR="009A00BA" w:rsidRPr="009A00BA" w:rsidRDefault="009A00BA" w:rsidP="009A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CE52D5" w14:textId="77777777" w:rsidR="009A00BA" w:rsidRPr="009A00BA" w:rsidRDefault="009A00BA" w:rsidP="009A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Подобряване природозащитното състояние на горски местообитания от мрежата Натура 2000 в Югозападна България-ОПОС 2014-2020 </w:t>
            </w:r>
            <w:r w:rsidRPr="009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bg-BG"/>
              </w:rPr>
              <w:t>капиталови разходи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C8806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B356E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DA27D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F740C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</w:tr>
      <w:tr w:rsidR="009A00BA" w:rsidRPr="009A00BA" w14:paraId="59272EBC" w14:textId="77777777" w:rsidTr="009A00BA">
        <w:trPr>
          <w:trHeight w:val="6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F9F20" w14:textId="77777777" w:rsidR="009A00BA" w:rsidRPr="009A00BA" w:rsidRDefault="009A00BA" w:rsidP="009A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B8874D4" w14:textId="77777777" w:rsidR="009A00BA" w:rsidRPr="009A00BA" w:rsidRDefault="009A00BA" w:rsidP="009A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Инвестиция К05.И01 от НПВУ: „Интегриране на екосистемния подход и прилагане на решения, базирани на природата, в опазването на защитените зони от мрежата „Натура 2000“ </w:t>
            </w:r>
            <w:r w:rsidRPr="009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bg-BG"/>
              </w:rPr>
              <w:t>капиталови разходи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6B990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9AD45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8EF62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448BC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</w:tr>
      <w:tr w:rsidR="009A00BA" w:rsidRPr="009A00BA" w14:paraId="34AA746D" w14:textId="77777777" w:rsidTr="009A00BA">
        <w:trPr>
          <w:trHeight w:val="43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8C55A" w14:textId="77777777" w:rsidR="009A00BA" w:rsidRPr="009A00BA" w:rsidRDefault="009A00BA" w:rsidP="009A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F7EC7B" w14:textId="77777777" w:rsidR="009A00BA" w:rsidRPr="009A00BA" w:rsidRDefault="009A00BA" w:rsidP="009A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>Опазване на околната среда и климатичните промени на ФМ на ЕИП 2014-2021 г.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7FBE7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7C938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F76BC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ADAD8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</w:tr>
      <w:tr w:rsidR="009A00BA" w:rsidRPr="009A00BA" w14:paraId="495E5E23" w14:textId="77777777" w:rsidTr="009A00BA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13911" w14:textId="77777777" w:rsidR="009A00BA" w:rsidRPr="009A00BA" w:rsidRDefault="009A00BA" w:rsidP="009A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36EEE3" w14:textId="77777777" w:rsidR="009A00BA" w:rsidRPr="009A00BA" w:rsidRDefault="009A00BA" w:rsidP="009A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Швейцарско-българската програма за сътрудничество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7264C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5156B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37253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5CCCA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</w:tr>
      <w:tr w:rsidR="009A00BA" w:rsidRPr="009A00BA" w14:paraId="4E0F2667" w14:textId="77777777" w:rsidTr="009A00BA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E4F30" w14:textId="77777777" w:rsidR="009A00BA" w:rsidRPr="009A00BA" w:rsidRDefault="009A00BA" w:rsidP="009A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40C28D" w14:textId="77777777" w:rsidR="009A00BA" w:rsidRPr="009A00BA" w:rsidRDefault="009A00BA" w:rsidP="009A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>Норвежки финансов механизъм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45418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AF163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B468C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E2BB1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</w:tr>
      <w:tr w:rsidR="009A00BA" w:rsidRPr="009A00BA" w14:paraId="5A5E3B7F" w14:textId="77777777" w:rsidTr="009A00BA">
        <w:trPr>
          <w:trHeight w:val="64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1160F" w14:textId="77777777" w:rsidR="009A00BA" w:rsidRPr="009A00BA" w:rsidRDefault="009A00BA" w:rsidP="009A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F812B7" w14:textId="77777777" w:rsidR="009A00BA" w:rsidRPr="009A00BA" w:rsidRDefault="009A00BA" w:rsidP="009A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>ПВУ - К.И.„Интегриране на екосистемния подход и прилагане на решения базирани на природата в опазването на защитените зони от мрежата Натура 2000“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2EB72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F3CB8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9438C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1307E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A00BA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</w:tr>
      <w:tr w:rsidR="009A00BA" w:rsidRPr="009A00BA" w14:paraId="763B3F59" w14:textId="77777777" w:rsidTr="009A00BA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D5C4A" w14:textId="77777777" w:rsidR="009A00BA" w:rsidRPr="009A00BA" w:rsidRDefault="009A00BA" w:rsidP="009A0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A64F7" w14:textId="77777777" w:rsidR="009A00BA" w:rsidRPr="009A00BA" w:rsidRDefault="009A00BA" w:rsidP="009A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ОБЩО ПО ПОЛИТИКАТА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028BB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69 653,5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74EF9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327 231,8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D7369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413 558,5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14B87" w14:textId="77777777" w:rsidR="009A00BA" w:rsidRPr="009A00BA" w:rsidRDefault="009A00BA" w:rsidP="009A0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411 830,4</w:t>
            </w:r>
          </w:p>
        </w:tc>
      </w:tr>
    </w:tbl>
    <w:p w14:paraId="76D814FC" w14:textId="4B2AABDF" w:rsidR="00F154A7" w:rsidRPr="00284482" w:rsidRDefault="005E27CE" w:rsidP="00284482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green"/>
        </w:rPr>
      </w:pPr>
      <w:r w:rsidRPr="00284482">
        <w:rPr>
          <w:rFonts w:ascii="Times New Roman" w:hAnsi="Times New Roman" w:cs="Times New Roman"/>
          <w:b/>
          <w:i/>
          <w:sz w:val="24"/>
          <w:szCs w:val="24"/>
          <w:highlight w:val="green"/>
        </w:rPr>
        <w:t xml:space="preserve">                                                                                           </w:t>
      </w:r>
      <w:r w:rsidR="009A00BA" w:rsidRPr="00284482">
        <w:rPr>
          <w:rFonts w:ascii="Times New Roman" w:hAnsi="Times New Roman" w:cs="Times New Roman"/>
          <w:b/>
          <w:i/>
          <w:sz w:val="24"/>
          <w:szCs w:val="24"/>
          <w:highlight w:val="green"/>
        </w:rPr>
        <w:t xml:space="preserve">                       </w:t>
      </w:r>
    </w:p>
    <w:p w14:paraId="5AA9F6AA" w14:textId="77777777" w:rsidR="00230093" w:rsidRDefault="00230093" w:rsidP="00661D04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5C62">
        <w:rPr>
          <w:rFonts w:ascii="Times New Roman" w:hAnsi="Times New Roman" w:cs="Times New Roman"/>
          <w:b/>
          <w:i/>
          <w:sz w:val="24"/>
          <w:szCs w:val="24"/>
        </w:rPr>
        <w:t>Ключови индикатори и целеви стойности</w:t>
      </w:r>
      <w:r w:rsidR="00091C5B" w:rsidRPr="00EF5C6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3"/>
        <w:gridCol w:w="992"/>
        <w:gridCol w:w="993"/>
        <w:gridCol w:w="992"/>
        <w:gridCol w:w="940"/>
      </w:tblGrid>
      <w:tr w:rsidR="00054301" w:rsidRPr="000B2BE5" w14:paraId="5FA445AC" w14:textId="1A0B599D" w:rsidTr="0012416F">
        <w:trPr>
          <w:trHeight w:val="510"/>
          <w:jc w:val="center"/>
        </w:trPr>
        <w:tc>
          <w:tcPr>
            <w:tcW w:w="9820" w:type="dxa"/>
            <w:gridSpan w:val="5"/>
            <w:shd w:val="clear" w:color="auto" w:fill="FFCC99"/>
            <w:vAlign w:val="center"/>
          </w:tcPr>
          <w:p w14:paraId="4079A1F2" w14:textId="16CFD95C" w:rsidR="00054301" w:rsidRPr="00E84B37" w:rsidRDefault="00054301" w:rsidP="0061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E84B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КЛЮЧОВИ ИНДИКАТОРИ ЗА ИЗПЪЛНЕНИЕ </w:t>
            </w:r>
            <w:r w:rsidRPr="000B2B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И ЦЕЛЕВИ СТО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Й</w:t>
            </w:r>
            <w:r w:rsidRPr="000B2B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НОСТИ</w:t>
            </w:r>
          </w:p>
        </w:tc>
      </w:tr>
      <w:tr w:rsidR="00054301" w:rsidRPr="000B2BE5" w14:paraId="6B02AD5A" w14:textId="15468673" w:rsidTr="003E53EA">
        <w:trPr>
          <w:trHeight w:val="422"/>
          <w:jc w:val="center"/>
        </w:trPr>
        <w:tc>
          <w:tcPr>
            <w:tcW w:w="5903" w:type="dxa"/>
            <w:shd w:val="clear" w:color="auto" w:fill="FFCC99"/>
            <w:vAlign w:val="center"/>
          </w:tcPr>
          <w:p w14:paraId="1F1740F1" w14:textId="77777777" w:rsidR="00054301" w:rsidRDefault="00054301" w:rsidP="00D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bg-BG"/>
              </w:rPr>
            </w:pPr>
            <w:r w:rsidRPr="00FB4D41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bg-BG"/>
              </w:rPr>
              <w:t>Политика в областта на опазването и ползването</w:t>
            </w:r>
          </w:p>
          <w:p w14:paraId="3C11D151" w14:textId="5A2315D2" w:rsidR="00054301" w:rsidRPr="000B2BE5" w:rsidRDefault="00054301" w:rsidP="00D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bg-BG"/>
              </w:rPr>
            </w:pPr>
            <w:r w:rsidRPr="00FB4D41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bg-BG"/>
              </w:rPr>
              <w:t xml:space="preserve"> на компонентите на околната среда</w:t>
            </w:r>
          </w:p>
        </w:tc>
        <w:tc>
          <w:tcPr>
            <w:tcW w:w="3917" w:type="dxa"/>
            <w:gridSpan w:val="4"/>
            <w:shd w:val="clear" w:color="auto" w:fill="FFCC99"/>
            <w:vAlign w:val="center"/>
          </w:tcPr>
          <w:p w14:paraId="4DA0B2D5" w14:textId="2E3957FF" w:rsidR="00054301" w:rsidRPr="000B2BE5" w:rsidRDefault="00054301" w:rsidP="0061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0B2B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Целева стойност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3E53EA" w:rsidRPr="000B2BE5" w14:paraId="3A792484" w14:textId="28F9730A" w:rsidTr="003E53EA">
        <w:trPr>
          <w:trHeight w:val="465"/>
          <w:jc w:val="center"/>
        </w:trPr>
        <w:tc>
          <w:tcPr>
            <w:tcW w:w="5903" w:type="dxa"/>
            <w:shd w:val="clear" w:color="auto" w:fill="FFCC99"/>
            <w:vAlign w:val="center"/>
          </w:tcPr>
          <w:p w14:paraId="60C150CD" w14:textId="55A341C5" w:rsidR="003E53EA" w:rsidRPr="000B2BE5" w:rsidRDefault="003E53EA" w:rsidP="0019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E84B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Наименование на индикатора</w:t>
            </w:r>
          </w:p>
        </w:tc>
        <w:tc>
          <w:tcPr>
            <w:tcW w:w="992" w:type="dxa"/>
            <w:shd w:val="clear" w:color="auto" w:fill="FFCC99"/>
            <w:vAlign w:val="center"/>
          </w:tcPr>
          <w:p w14:paraId="7345B318" w14:textId="77777777" w:rsidR="003E53EA" w:rsidRPr="000B2BE5" w:rsidRDefault="003E53EA" w:rsidP="0019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0B2B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Мерна единица</w:t>
            </w:r>
          </w:p>
        </w:tc>
        <w:tc>
          <w:tcPr>
            <w:tcW w:w="993" w:type="dxa"/>
            <w:shd w:val="clear" w:color="auto" w:fill="FFCC99"/>
            <w:vAlign w:val="center"/>
          </w:tcPr>
          <w:p w14:paraId="67A2B558" w14:textId="47F81DB0" w:rsidR="003E53EA" w:rsidRPr="000B2BE5" w:rsidRDefault="003E53EA" w:rsidP="0019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bg-BG"/>
              </w:rPr>
              <w:t>Проект</w:t>
            </w:r>
            <w:r w:rsidRPr="000B2B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bg-BG"/>
              </w:rPr>
              <w:t xml:space="preserve"> 2026 г.</w:t>
            </w:r>
          </w:p>
        </w:tc>
        <w:tc>
          <w:tcPr>
            <w:tcW w:w="992" w:type="dxa"/>
            <w:shd w:val="clear" w:color="auto" w:fill="FFCC99"/>
            <w:vAlign w:val="center"/>
          </w:tcPr>
          <w:p w14:paraId="6813D452" w14:textId="6E79DE25" w:rsidR="003E53EA" w:rsidRPr="000B2BE5" w:rsidRDefault="003E53EA" w:rsidP="0019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bg-BG"/>
              </w:rPr>
            </w:pPr>
            <w:r w:rsidRPr="001947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bg-BG"/>
              </w:rPr>
              <w:t>Прогноза 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bg-BG"/>
              </w:rPr>
              <w:t>7</w:t>
            </w:r>
            <w:r w:rsidRPr="001947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bg-BG"/>
              </w:rPr>
              <w:t xml:space="preserve"> г.</w:t>
            </w:r>
          </w:p>
        </w:tc>
        <w:tc>
          <w:tcPr>
            <w:tcW w:w="940" w:type="dxa"/>
            <w:shd w:val="clear" w:color="auto" w:fill="FFCC99"/>
            <w:vAlign w:val="center"/>
          </w:tcPr>
          <w:p w14:paraId="04BF226D" w14:textId="4BE82A67" w:rsidR="003E53EA" w:rsidRPr="00194780" w:rsidRDefault="003E53EA" w:rsidP="0005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bg-BG"/>
              </w:rPr>
            </w:pPr>
            <w:r w:rsidRPr="001947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bg-BG"/>
              </w:rPr>
              <w:t>Прогноза 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bg-BG"/>
              </w:rPr>
              <w:t>8</w:t>
            </w:r>
            <w:r w:rsidRPr="001947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bg-BG"/>
              </w:rPr>
              <w:t xml:space="preserve"> г.</w:t>
            </w:r>
          </w:p>
        </w:tc>
      </w:tr>
      <w:tr w:rsidR="003E53EA" w:rsidRPr="000B2BE5" w14:paraId="147F642D" w14:textId="33985044" w:rsidTr="003E53EA">
        <w:trPr>
          <w:trHeight w:val="1018"/>
          <w:jc w:val="center"/>
        </w:trPr>
        <w:tc>
          <w:tcPr>
            <w:tcW w:w="5903" w:type="dxa"/>
            <w:shd w:val="clear" w:color="auto" w:fill="auto"/>
            <w:vAlign w:val="center"/>
          </w:tcPr>
          <w:p w14:paraId="547AB365" w14:textId="782F2EB8" w:rsidR="003E53EA" w:rsidRPr="00362559" w:rsidRDefault="003E53EA" w:rsidP="0019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6255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1. Население, обхванато от изпълнени мерки за подобряване състоянието на водите и за защита от наводнения: </w:t>
            </w:r>
          </w:p>
          <w:p w14:paraId="0241028F" w14:textId="77777777" w:rsidR="003E53EA" w:rsidRPr="00362559" w:rsidRDefault="003E53EA" w:rsidP="00194780">
            <w:pPr>
              <w:numPr>
                <w:ilvl w:val="0"/>
                <w:numId w:val="10"/>
              </w:numPr>
              <w:spacing w:after="0" w:line="240" w:lineRule="auto"/>
              <w:ind w:left="512" w:hanging="283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6255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подобрено водоснабдяване;</w:t>
            </w:r>
          </w:p>
          <w:p w14:paraId="130BEBC3" w14:textId="03DD92E2" w:rsidR="003E53EA" w:rsidRPr="00362559" w:rsidRDefault="003E53EA" w:rsidP="00194780">
            <w:pPr>
              <w:numPr>
                <w:ilvl w:val="0"/>
                <w:numId w:val="10"/>
              </w:numPr>
              <w:spacing w:after="0" w:line="240" w:lineRule="auto"/>
              <w:ind w:left="512" w:hanging="283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6255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подобрено пречистване на отпадъчни води;</w:t>
            </w:r>
          </w:p>
          <w:p w14:paraId="4B605A14" w14:textId="77777777" w:rsidR="003E53EA" w:rsidRPr="00362559" w:rsidRDefault="003E53EA" w:rsidP="00194780">
            <w:pPr>
              <w:numPr>
                <w:ilvl w:val="0"/>
                <w:numId w:val="10"/>
              </w:numPr>
              <w:spacing w:after="0" w:line="240" w:lineRule="auto"/>
              <w:ind w:left="518" w:hanging="288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6255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защита от наводнения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C91A0" w14:textId="77777777" w:rsidR="003E53EA" w:rsidRPr="000B2BE5" w:rsidRDefault="003E53EA" w:rsidP="0019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0B2BE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бр. жители</w:t>
            </w:r>
          </w:p>
        </w:tc>
        <w:tc>
          <w:tcPr>
            <w:tcW w:w="993" w:type="dxa"/>
            <w:vAlign w:val="center"/>
          </w:tcPr>
          <w:p w14:paraId="1D43D9E2" w14:textId="281914D7" w:rsidR="003E53EA" w:rsidRDefault="003E53EA" w:rsidP="0019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  <w:p w14:paraId="2D737B3C" w14:textId="424B8570" w:rsidR="003E53EA" w:rsidRPr="000B2BE5" w:rsidRDefault="003E53EA" w:rsidP="003E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  <w:p w14:paraId="36F19682" w14:textId="77777777" w:rsidR="003E53EA" w:rsidRPr="00CE79FB" w:rsidRDefault="003E53EA" w:rsidP="00CE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CE79F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170 070</w:t>
            </w:r>
          </w:p>
          <w:p w14:paraId="6D27BEFB" w14:textId="502A4AB0" w:rsidR="003E53EA" w:rsidRPr="00CE79FB" w:rsidRDefault="003E53EA" w:rsidP="00CE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CE79F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6</w:t>
            </w:r>
            <w:r w:rsidRPr="00CE79F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000</w:t>
            </w:r>
          </w:p>
          <w:p w14:paraId="7C1B4DDC" w14:textId="63BDFB9A" w:rsidR="003E53EA" w:rsidRPr="003E53EA" w:rsidRDefault="003E53EA" w:rsidP="003E5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97 197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B58DF" w14:textId="77777777" w:rsidR="003E53EA" w:rsidRDefault="003E53EA" w:rsidP="00CE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  <w:p w14:paraId="27FA9BB2" w14:textId="77777777" w:rsidR="003E53EA" w:rsidRDefault="003E53EA" w:rsidP="00CE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  <w:p w14:paraId="120E7407" w14:textId="138D1F68" w:rsidR="003E53EA" w:rsidRPr="00CE79FB" w:rsidRDefault="003E53EA" w:rsidP="00CE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CE79F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170 070</w:t>
            </w:r>
          </w:p>
          <w:p w14:paraId="4F85F567" w14:textId="77777777" w:rsidR="003E53EA" w:rsidRPr="00CE79FB" w:rsidRDefault="003E53EA" w:rsidP="00CE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CE79F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121 000</w:t>
            </w:r>
          </w:p>
          <w:p w14:paraId="22AE3972" w14:textId="5F009C2B" w:rsidR="003E53EA" w:rsidRPr="000B2BE5" w:rsidRDefault="003E53EA" w:rsidP="00CE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CE79F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97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  <w:r w:rsidRPr="00CE79F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197</w:t>
            </w:r>
          </w:p>
        </w:tc>
        <w:tc>
          <w:tcPr>
            <w:tcW w:w="940" w:type="dxa"/>
            <w:vAlign w:val="center"/>
          </w:tcPr>
          <w:p w14:paraId="40FCAC98" w14:textId="77777777" w:rsidR="003E53EA" w:rsidRDefault="003E53EA" w:rsidP="0085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  <w:p w14:paraId="263CFA83" w14:textId="77777777" w:rsidR="003E53EA" w:rsidRDefault="003E53EA" w:rsidP="0085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  <w:p w14:paraId="65B86670" w14:textId="38761CD5" w:rsidR="003E53EA" w:rsidRPr="00850557" w:rsidRDefault="003E53EA" w:rsidP="0085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5055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170 070</w:t>
            </w:r>
          </w:p>
          <w:p w14:paraId="6E3ED251" w14:textId="77777777" w:rsidR="003E53EA" w:rsidRPr="00850557" w:rsidRDefault="003E53EA" w:rsidP="0085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5055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121 000</w:t>
            </w:r>
          </w:p>
          <w:p w14:paraId="754C2208" w14:textId="7B176263" w:rsidR="003E53EA" w:rsidRDefault="003E53EA" w:rsidP="0085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5055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97 197</w:t>
            </w:r>
          </w:p>
        </w:tc>
      </w:tr>
      <w:tr w:rsidR="003E53EA" w:rsidRPr="000B2BE5" w14:paraId="0B152999" w14:textId="04C28B3D" w:rsidTr="003E53EA">
        <w:trPr>
          <w:trHeight w:val="263"/>
          <w:jc w:val="center"/>
        </w:trPr>
        <w:tc>
          <w:tcPr>
            <w:tcW w:w="5903" w:type="dxa"/>
            <w:shd w:val="clear" w:color="auto" w:fill="auto"/>
            <w:vAlign w:val="center"/>
          </w:tcPr>
          <w:p w14:paraId="7632DDA6" w14:textId="77777777" w:rsidR="003E53EA" w:rsidRPr="00362559" w:rsidRDefault="003E53EA" w:rsidP="0019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6255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2. Допълнителен капацитет за оползотворяване/рециклиране на отпадъци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6E1834" w14:textId="77777777" w:rsidR="003E53EA" w:rsidRPr="000B2BE5" w:rsidRDefault="003E53EA" w:rsidP="0019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0B2BE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тона</w:t>
            </w:r>
          </w:p>
        </w:tc>
        <w:tc>
          <w:tcPr>
            <w:tcW w:w="993" w:type="dxa"/>
            <w:vAlign w:val="center"/>
          </w:tcPr>
          <w:p w14:paraId="52A32FC6" w14:textId="2CB9A89F" w:rsidR="003E53EA" w:rsidRPr="000B2BE5" w:rsidRDefault="003E53EA" w:rsidP="0019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0B2BE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  <w:t>55 000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C9133" w14:textId="376B382D" w:rsidR="003E53EA" w:rsidRPr="000B2BE5" w:rsidRDefault="003E53EA" w:rsidP="0019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CE79F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55 000</w:t>
            </w:r>
          </w:p>
        </w:tc>
        <w:tc>
          <w:tcPr>
            <w:tcW w:w="940" w:type="dxa"/>
            <w:vAlign w:val="center"/>
          </w:tcPr>
          <w:p w14:paraId="3664603A" w14:textId="527FA604" w:rsidR="003E53EA" w:rsidRPr="00CE79FB" w:rsidRDefault="003E53EA" w:rsidP="0019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5055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55 000</w:t>
            </w:r>
          </w:p>
        </w:tc>
      </w:tr>
      <w:tr w:rsidR="003E53EA" w:rsidRPr="000B2BE5" w14:paraId="15538366" w14:textId="43CC6C55" w:rsidTr="003E53EA">
        <w:trPr>
          <w:trHeight w:val="278"/>
          <w:jc w:val="center"/>
        </w:trPr>
        <w:tc>
          <w:tcPr>
            <w:tcW w:w="5903" w:type="dxa"/>
            <w:shd w:val="clear" w:color="auto" w:fill="auto"/>
          </w:tcPr>
          <w:p w14:paraId="45E97AF8" w14:textId="2A99A1AC" w:rsidR="003E53EA" w:rsidRPr="00362559" w:rsidRDefault="003E53EA" w:rsidP="001947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6255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3. Управление и защита на природни местообитания и видове чрез: </w:t>
            </w:r>
          </w:p>
          <w:p w14:paraId="291F5243" w14:textId="77777777" w:rsidR="003E53EA" w:rsidRPr="00362559" w:rsidRDefault="003E53EA" w:rsidP="00194780">
            <w:pPr>
              <w:numPr>
                <w:ilvl w:val="0"/>
                <w:numId w:val="10"/>
              </w:numPr>
              <w:spacing w:after="0" w:line="240" w:lineRule="auto"/>
              <w:ind w:left="512" w:hanging="283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6255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приети планове за управление на защитени територии и защитени зони и планове за действие за растителни и животински видове;</w:t>
            </w:r>
          </w:p>
          <w:p w14:paraId="31A3A9D6" w14:textId="77777777" w:rsidR="003E53EA" w:rsidRPr="00362559" w:rsidRDefault="003E53EA" w:rsidP="00194780">
            <w:pPr>
              <w:numPr>
                <w:ilvl w:val="0"/>
                <w:numId w:val="10"/>
              </w:numPr>
              <w:spacing w:after="0" w:line="240" w:lineRule="auto"/>
              <w:ind w:left="512" w:hanging="283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6255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осигуряване на екологосъобразно и контролирано ползване на природни ресурси в националните паркове (паша, дървесина, сенокос, лечебни растения, гъби и диворастящи плодове)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733E2" w14:textId="77777777" w:rsidR="003E53EA" w:rsidRPr="000B2BE5" w:rsidRDefault="003E53EA" w:rsidP="0019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0B2BE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брой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86B4B3" w14:textId="765EF1FE" w:rsidR="003E53EA" w:rsidRPr="000B2BE5" w:rsidRDefault="003E53EA" w:rsidP="0019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</w:t>
            </w:r>
          </w:p>
          <w:p w14:paraId="6FCF33AB" w14:textId="77777777" w:rsidR="003E53EA" w:rsidRPr="000B2BE5" w:rsidRDefault="003E53EA" w:rsidP="0019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  <w:p w14:paraId="2E5C18B9" w14:textId="7AFE1A35" w:rsidR="003E53EA" w:rsidRPr="000B2BE5" w:rsidRDefault="003E53EA" w:rsidP="0019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0B2BE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900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AE27E" w14:textId="0AA1DD2E" w:rsidR="003E53EA" w:rsidRPr="00CE79FB" w:rsidRDefault="003E53EA" w:rsidP="00CE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7</w:t>
            </w:r>
          </w:p>
          <w:p w14:paraId="68AFE528" w14:textId="77777777" w:rsidR="003E53EA" w:rsidRPr="00CE79FB" w:rsidRDefault="003E53EA" w:rsidP="00CE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  <w:p w14:paraId="69315302" w14:textId="3EF72EFC" w:rsidR="003E53EA" w:rsidRPr="000B2BE5" w:rsidRDefault="003E53EA" w:rsidP="00CE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CE79F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900</w:t>
            </w:r>
          </w:p>
        </w:tc>
        <w:tc>
          <w:tcPr>
            <w:tcW w:w="940" w:type="dxa"/>
            <w:vAlign w:val="center"/>
          </w:tcPr>
          <w:p w14:paraId="0F559187" w14:textId="4C518B00" w:rsidR="003E53EA" w:rsidRDefault="003E53EA" w:rsidP="00CE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24</w:t>
            </w:r>
          </w:p>
          <w:p w14:paraId="3DFD769E" w14:textId="77777777" w:rsidR="003E53EA" w:rsidRDefault="003E53EA" w:rsidP="00CE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  <w:p w14:paraId="1464DBDD" w14:textId="20F02683" w:rsidR="003E53EA" w:rsidRDefault="003E53EA" w:rsidP="00CE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700</w:t>
            </w:r>
          </w:p>
        </w:tc>
      </w:tr>
      <w:tr w:rsidR="003E53EA" w:rsidRPr="000B2BE5" w14:paraId="13176C87" w14:textId="7C535EBC" w:rsidTr="003E53EA">
        <w:trPr>
          <w:trHeight w:val="278"/>
          <w:jc w:val="center"/>
        </w:trPr>
        <w:tc>
          <w:tcPr>
            <w:tcW w:w="5903" w:type="dxa"/>
            <w:shd w:val="clear" w:color="auto" w:fill="auto"/>
            <w:vAlign w:val="center"/>
          </w:tcPr>
          <w:p w14:paraId="3FE49BD9" w14:textId="77777777" w:rsidR="003E53EA" w:rsidRPr="00362559" w:rsidRDefault="003E53EA" w:rsidP="0019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6255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4. Население с подобрено качество на атмосферния въздух (за замърсител ФПЧ</w:t>
            </w:r>
            <w:r w:rsidRPr="00362559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bg-BG"/>
              </w:rPr>
              <w:t>10</w:t>
            </w:r>
            <w:r w:rsidRPr="0036255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BABB9" w14:textId="77777777" w:rsidR="003E53EA" w:rsidRPr="000B2BE5" w:rsidRDefault="003E53EA" w:rsidP="0019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0B2BE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бр. жители</w:t>
            </w:r>
          </w:p>
        </w:tc>
        <w:tc>
          <w:tcPr>
            <w:tcW w:w="993" w:type="dxa"/>
            <w:vAlign w:val="center"/>
          </w:tcPr>
          <w:p w14:paraId="4C37B485" w14:textId="4713767F" w:rsidR="003E53EA" w:rsidRPr="000B2BE5" w:rsidRDefault="003E53EA" w:rsidP="0019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E53EA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2 952 217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1523C4" w14:textId="49DB5F14" w:rsidR="003E53EA" w:rsidRPr="000B2BE5" w:rsidRDefault="003E53EA" w:rsidP="0019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E53EA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2 952 217</w:t>
            </w:r>
          </w:p>
        </w:tc>
        <w:tc>
          <w:tcPr>
            <w:tcW w:w="940" w:type="dxa"/>
            <w:vAlign w:val="center"/>
          </w:tcPr>
          <w:p w14:paraId="25664E01" w14:textId="6796B79B" w:rsidR="003E53EA" w:rsidRPr="00CE79FB" w:rsidRDefault="003E53EA" w:rsidP="0095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E53EA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2 952 217</w:t>
            </w:r>
          </w:p>
        </w:tc>
      </w:tr>
      <w:tr w:rsidR="003E53EA" w:rsidRPr="000B2BE5" w14:paraId="71E0C039" w14:textId="60CB5201" w:rsidTr="003E53EA">
        <w:trPr>
          <w:trHeight w:val="277"/>
          <w:jc w:val="center"/>
        </w:trPr>
        <w:tc>
          <w:tcPr>
            <w:tcW w:w="5903" w:type="dxa"/>
            <w:shd w:val="clear" w:color="auto" w:fill="auto"/>
            <w:vAlign w:val="center"/>
          </w:tcPr>
          <w:p w14:paraId="04AB41AD" w14:textId="6D1A02BD" w:rsidR="003E53EA" w:rsidRPr="00362559" w:rsidRDefault="003E53EA" w:rsidP="0019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6255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5. </w:t>
            </w:r>
            <w:r w:rsidRPr="003E53EA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Емисии на парникови газове на национално ниво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033A07" w14:textId="3EE06385" w:rsidR="003E53EA" w:rsidRPr="000B2BE5" w:rsidRDefault="003E53EA" w:rsidP="009C00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E53EA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ktCO2eq</w:t>
            </w:r>
            <w:r w:rsidRPr="000B2BE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*</w:t>
            </w:r>
          </w:p>
        </w:tc>
        <w:tc>
          <w:tcPr>
            <w:tcW w:w="993" w:type="dxa"/>
            <w:vAlign w:val="center"/>
          </w:tcPr>
          <w:p w14:paraId="4BD5F084" w14:textId="5EE78353" w:rsidR="003E53EA" w:rsidRPr="000B2BE5" w:rsidRDefault="003E53EA" w:rsidP="0019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E53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  <w:t>37 594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8C6DA" w14:textId="31D1EA1F" w:rsidR="003E53EA" w:rsidRPr="000B2BE5" w:rsidRDefault="003E53EA" w:rsidP="0019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E53EA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34 941</w:t>
            </w:r>
          </w:p>
        </w:tc>
        <w:tc>
          <w:tcPr>
            <w:tcW w:w="940" w:type="dxa"/>
            <w:vAlign w:val="center"/>
          </w:tcPr>
          <w:p w14:paraId="7315E1CD" w14:textId="20324E31" w:rsidR="003E53EA" w:rsidRDefault="003E53EA" w:rsidP="00F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E53EA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32 289</w:t>
            </w:r>
          </w:p>
        </w:tc>
      </w:tr>
    </w:tbl>
    <w:p w14:paraId="14F4D958" w14:textId="6298295C" w:rsidR="000B2BE5" w:rsidRDefault="000B2BE5" w:rsidP="000B2BE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0B2BE5">
        <w:rPr>
          <w:rFonts w:ascii="Times New Roman" w:eastAsia="Times New Roman" w:hAnsi="Times New Roman" w:cs="Times New Roman"/>
          <w:i/>
          <w:sz w:val="20"/>
          <w:szCs w:val="20"/>
          <w:lang w:val="en-US" w:eastAsia="bg-BG"/>
        </w:rPr>
        <w:t>*</w:t>
      </w:r>
      <w:r w:rsidRPr="000B2BE5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 </w:t>
      </w:r>
      <w:r w:rsidR="003E53EA" w:rsidRPr="003E53EA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килотона </w:t>
      </w:r>
      <w:r w:rsidRPr="000B2BE5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въглероден диоксид еквивалент</w:t>
      </w:r>
    </w:p>
    <w:p w14:paraId="1B97446C" w14:textId="77777777" w:rsidR="001B1961" w:rsidRDefault="001B1961" w:rsidP="001B1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5289511" w14:textId="7576CB74" w:rsidR="001B1961" w:rsidRPr="004E458D" w:rsidRDefault="007A22AA" w:rsidP="001B1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458D">
        <w:rPr>
          <w:rFonts w:ascii="Times New Roman" w:eastAsia="Times New Roman" w:hAnsi="Times New Roman" w:cs="Times New Roman"/>
          <w:sz w:val="24"/>
          <w:szCs w:val="24"/>
          <w:lang w:eastAsia="bg-BG"/>
        </w:rPr>
        <w:t>Индикатор</w:t>
      </w:r>
      <w:r w:rsidR="001B1961" w:rsidRPr="004E45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F5F6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„Население, обхвана</w:t>
      </w:r>
      <w:r w:rsidR="001B1961" w:rsidRPr="004E458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то от изпълнени мерки за подобряване състоянието на водите и за защита от наводнения: подобрено водоснабдяване, подобрено пречистване на отпадъчни води</w:t>
      </w:r>
      <w:r w:rsidR="001B1961" w:rsidRPr="004E45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1B1961" w:rsidRPr="004E458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защита от наводнения” </w:t>
      </w:r>
      <w:r w:rsidR="001B1961" w:rsidRPr="004E458D"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измерва постигнат ефект от подкрепени проекти, насочени към повишаване на ефективността на ползване на водите чрез намаляване на загубите на вода във водопреносните мрежи, подобряване на качеството на питейната вода и предотвратяване или намаляване на неблагоприятните последици от вредното въздействие на водите.</w:t>
      </w:r>
    </w:p>
    <w:p w14:paraId="50EB58A2" w14:textId="43CF99E2" w:rsidR="001B1961" w:rsidRPr="004E458D" w:rsidRDefault="007A22AA" w:rsidP="00D752C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15F">
        <w:rPr>
          <w:rFonts w:ascii="Times New Roman" w:eastAsia="Times New Roman" w:hAnsi="Times New Roman" w:cs="Times New Roman"/>
          <w:sz w:val="24"/>
          <w:szCs w:val="24"/>
          <w:lang w:eastAsia="bg-BG"/>
        </w:rPr>
        <w:t>Индикатор</w:t>
      </w:r>
      <w:r w:rsidR="001B1961" w:rsidRPr="004841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B1961" w:rsidRPr="0048415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„</w:t>
      </w:r>
      <w:r w:rsidR="001B1961" w:rsidRPr="0048415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Допълнителен капацитет за оползотворяване/рециклиране на отпадъци</w:t>
      </w:r>
      <w:r w:rsidR="001B1961" w:rsidRPr="0048415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“ </w:t>
      </w:r>
      <w:r w:rsidR="001B1961" w:rsidRPr="0048415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измерва постигнат ефект от осъществени проекти, свързани с предотвратяване, намаляване или ограничаване на вредното въздействие на отпадъците върху човешкото здраве и околната среда и използването им като ресурс за икономиката.</w:t>
      </w:r>
      <w:r w:rsidR="0048415F" w:rsidRPr="0048415F">
        <w:t xml:space="preserve"> </w:t>
      </w:r>
      <w:r w:rsidR="0048415F" w:rsidRPr="00D11BF2">
        <w:rPr>
          <w:rFonts w:ascii="Times New Roman" w:eastAsia="Times New Roman" w:hAnsi="Times New Roman" w:cs="Times New Roman"/>
          <w:sz w:val="24"/>
          <w:szCs w:val="24"/>
          <w:lang w:eastAsia="bg-BG"/>
        </w:rPr>
        <w:t>Необходимо е да се има предвид, че крайните резултати от проектите, финансирани по Програма „Околна среда“ 2021-2027 г., ще бъдат отчетени в края на 2029 г., т.е. едва тогава ще стане ясно какво е изпълнението на индикатора и дали заложената в програмата целева стойност е постигната.</w:t>
      </w:r>
    </w:p>
    <w:p w14:paraId="6FB4262D" w14:textId="77777777" w:rsidR="001B1961" w:rsidRPr="004E458D" w:rsidRDefault="007A22AA" w:rsidP="00D752C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458D">
        <w:rPr>
          <w:rFonts w:ascii="Times New Roman" w:eastAsia="Times New Roman" w:hAnsi="Times New Roman" w:cs="Times New Roman"/>
          <w:sz w:val="24"/>
          <w:szCs w:val="24"/>
          <w:lang w:eastAsia="bg-BG"/>
        </w:rPr>
        <w:t>Индикатор</w:t>
      </w:r>
      <w:r w:rsidR="001B1961" w:rsidRPr="004E45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B1961" w:rsidRPr="004E458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„Управление и защита на природни местообитания и видове чрез приети планове за управление на защитени територии и защитени зони и планове за действие за </w:t>
      </w:r>
      <w:r w:rsidR="00C14A09" w:rsidRPr="004E458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растителни и животински видове </w:t>
      </w:r>
      <w:r w:rsidR="001B1961" w:rsidRPr="004E458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и осигуряване на екологосъобразно и контролирано ползване на природни ресурси в националните паркове (паша, дървесина, сенокос, лечебни растения, гъби и диворастящи плодове)“</w:t>
      </w:r>
      <w:r w:rsidR="001B1961" w:rsidRPr="004E45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ключовия механизъм за ефективно управление и защита на природни местообитания и видове с европейско и национално значение, който способства за измерване на постигнатия напредък в стратегическото планиране на мерките, </w:t>
      </w:r>
      <w:r w:rsidR="001B1961" w:rsidRPr="004E458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необходими за подобряване на природозащитното състояние </w:t>
      </w:r>
      <w:r w:rsidR="001B1961" w:rsidRPr="004E458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 контролирано ползване на природни ресурси в националните паркове</w:t>
      </w:r>
      <w:r w:rsidR="001B1961" w:rsidRPr="004E458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299D17B" w14:textId="0154298F" w:rsidR="001F3BF4" w:rsidRPr="001F3BF4" w:rsidRDefault="001611EF" w:rsidP="001F3BF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458D">
        <w:rPr>
          <w:rFonts w:ascii="Times New Roman" w:eastAsia="Times New Roman" w:hAnsi="Times New Roman" w:cs="Times New Roman"/>
          <w:sz w:val="24"/>
          <w:szCs w:val="24"/>
          <w:lang w:eastAsia="bg-BG"/>
        </w:rPr>
        <w:t>Индикатор</w:t>
      </w:r>
      <w:r w:rsidR="001B1961" w:rsidRPr="004E45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B1961" w:rsidRPr="004E458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„Население с подобрено качество на атмосферния въздух (за замърсител ФПЧ</w:t>
      </w:r>
      <w:r w:rsidR="001B1961" w:rsidRPr="004E458D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bg-BG"/>
        </w:rPr>
        <w:t>10</w:t>
      </w:r>
      <w:r w:rsidR="001B1961" w:rsidRPr="004E458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)“</w:t>
      </w:r>
      <w:r w:rsidR="001B1961" w:rsidRPr="004E45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</w:t>
      </w:r>
      <w:r w:rsidRPr="004E458D">
        <w:rPr>
          <w:rFonts w:ascii="Times New Roman" w:eastAsia="Times New Roman" w:hAnsi="Times New Roman" w:cs="Times New Roman"/>
          <w:sz w:val="24"/>
          <w:szCs w:val="24"/>
          <w:lang w:eastAsia="bg-BG"/>
        </w:rPr>
        <w:t>индикатор</w:t>
      </w:r>
      <w:r w:rsidR="001B1961" w:rsidRPr="004E45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изпълнение на целта за подобряване качеството на атмосферния въздух на територията на цялата страна. </w:t>
      </w:r>
      <w:r w:rsidR="003E53EA" w:rsidRPr="003E53EA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Основните показатели, характеризиращи качеството на атмосферния въздух (КАВ), са 12 замърсителя, които са обект на нормиране и чиито нива в атмосферния въздух подлежат на задължителна текуща оценка (мониторинг). Замърсителите са: прахови частици – ФПЧ</w:t>
      </w:r>
      <w:r w:rsidR="003E53EA" w:rsidRPr="003E53EA">
        <w:rPr>
          <w:rFonts w:ascii="Times New Roman" w:eastAsia="Times New Roman" w:hAnsi="Times New Roman" w:cs="Times New Roman"/>
          <w:sz w:val="24"/>
          <w:szCs w:val="24"/>
          <w:vertAlign w:val="subscript"/>
          <w:lang w:eastAsia="bg-BG"/>
        </w:rPr>
        <w:t>10</w:t>
      </w:r>
      <w:r w:rsidR="003E53EA" w:rsidRPr="003E53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ФПЧ</w:t>
      </w:r>
      <w:r w:rsidR="003E53EA" w:rsidRPr="003E53EA">
        <w:rPr>
          <w:rFonts w:ascii="Times New Roman" w:eastAsia="Times New Roman" w:hAnsi="Times New Roman" w:cs="Times New Roman"/>
          <w:sz w:val="24"/>
          <w:szCs w:val="24"/>
          <w:vertAlign w:val="subscript"/>
          <w:lang w:eastAsia="bg-BG"/>
        </w:rPr>
        <w:t>2,5</w:t>
      </w:r>
      <w:r w:rsidR="003E53EA" w:rsidRPr="003E53EA">
        <w:rPr>
          <w:rFonts w:ascii="Times New Roman" w:eastAsia="Times New Roman" w:hAnsi="Times New Roman" w:cs="Times New Roman"/>
          <w:sz w:val="24"/>
          <w:szCs w:val="24"/>
          <w:lang w:eastAsia="bg-BG"/>
        </w:rPr>
        <w:t>, серен диоксид, азотни оксиди, олово, озон, въглероден оксид, бензен, кадмий и никел (тежки метали), арсен и полициклични ароматни въглеводороди. Ключов приоритет на национално ниво е подобряване на КАВ за населението с наднормено замърсяване с ФПЧ</w:t>
      </w:r>
      <w:r w:rsidR="003E53EA" w:rsidRPr="003E53EA">
        <w:rPr>
          <w:rFonts w:ascii="Times New Roman" w:eastAsia="Times New Roman" w:hAnsi="Times New Roman" w:cs="Times New Roman"/>
          <w:sz w:val="24"/>
          <w:szCs w:val="24"/>
          <w:vertAlign w:val="subscript"/>
          <w:lang w:eastAsia="bg-BG"/>
        </w:rPr>
        <w:t>10</w:t>
      </w:r>
      <w:r w:rsidR="003E53EA" w:rsidRPr="003E53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5E52B4">
        <w:rPr>
          <w:rFonts w:ascii="Times New Roman" w:eastAsia="Times New Roman" w:hAnsi="Times New Roman" w:cs="Times New Roman"/>
          <w:sz w:val="24"/>
          <w:szCs w:val="24"/>
          <w:lang w:eastAsia="bg-BG"/>
        </w:rPr>
        <w:t>Индикаторът</w:t>
      </w:r>
      <w:r w:rsidR="005E52B4" w:rsidRPr="003E53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E53EA" w:rsidRPr="003E53E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измерва постигнатия ефект от прилагането на мерки, като показва населението в определени градове с подобрено КАВ, които са обект на наказателната процедура за ФПЧ</w:t>
      </w:r>
      <w:r w:rsidR="003E53EA" w:rsidRPr="003E53EA">
        <w:rPr>
          <w:rFonts w:ascii="Times New Roman" w:eastAsia="Times New Roman" w:hAnsi="Times New Roman" w:cs="Times New Roman"/>
          <w:sz w:val="24"/>
          <w:szCs w:val="24"/>
          <w:vertAlign w:val="subscript"/>
          <w:lang w:eastAsia="bg-BG"/>
        </w:rPr>
        <w:t>10</w:t>
      </w:r>
      <w:r w:rsidR="003E53EA" w:rsidRPr="003E53E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r w:rsidR="003E53EA" w:rsidRPr="003E53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определянето на целевата стойност на </w:t>
      </w:r>
      <w:r w:rsidR="003E53EA">
        <w:rPr>
          <w:rFonts w:ascii="Times New Roman" w:eastAsia="Times New Roman" w:hAnsi="Times New Roman" w:cs="Times New Roman"/>
          <w:sz w:val="24"/>
          <w:szCs w:val="24"/>
          <w:lang w:eastAsia="bg-BG"/>
        </w:rPr>
        <w:t>индикатора</w:t>
      </w:r>
      <w:r w:rsidR="003E53EA" w:rsidRPr="003E53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е включено населението на градовете Девня, Добрич, Пирдоп, Сливен, Гълъбово и Стара Загора, тъй като през 2017 г. тези градове вече са с постигнато съответствие на КАВ по този замърсител. В Националната програма за подобряване качеството на атмосферния въздух 2018-2024 г. са предвидени мерки за подобряването му по показател ФПЧ</w:t>
      </w:r>
      <w:r w:rsidR="003E53EA" w:rsidRPr="003E53EA">
        <w:rPr>
          <w:rFonts w:ascii="Times New Roman" w:eastAsia="Times New Roman" w:hAnsi="Times New Roman" w:cs="Times New Roman"/>
          <w:sz w:val="24"/>
          <w:szCs w:val="24"/>
          <w:vertAlign w:val="subscript"/>
          <w:lang w:eastAsia="bg-BG"/>
        </w:rPr>
        <w:t>10</w:t>
      </w:r>
      <w:r w:rsidR="003E53EA" w:rsidRPr="003E53EA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програмата предвижда, считано от 2025 г. нормите за ФПЧ</w:t>
      </w:r>
      <w:r w:rsidR="003E53EA" w:rsidRPr="003E53EA">
        <w:rPr>
          <w:rFonts w:ascii="Times New Roman" w:eastAsia="Times New Roman" w:hAnsi="Times New Roman" w:cs="Times New Roman"/>
          <w:sz w:val="24"/>
          <w:szCs w:val="24"/>
          <w:vertAlign w:val="subscript"/>
          <w:lang w:eastAsia="bg-BG"/>
        </w:rPr>
        <w:t>10</w:t>
      </w:r>
      <w:r w:rsidR="003E53EA" w:rsidRPr="003E53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бъдат постигнати. Във връзка с това, целевата стойност за периода от 2026 до 2028</w:t>
      </w:r>
      <w:r w:rsidR="003E53EA" w:rsidRPr="003E53E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3E53EA" w:rsidRPr="003E53EA">
        <w:rPr>
          <w:rFonts w:ascii="Times New Roman" w:eastAsia="Times New Roman" w:hAnsi="Times New Roman" w:cs="Times New Roman"/>
          <w:sz w:val="24"/>
          <w:szCs w:val="24"/>
          <w:lang w:eastAsia="bg-BG"/>
        </w:rPr>
        <w:t>г. е 2 952 217 или това е населението на градовете, попадащи в наказателната процедура, без населението на изброените по-горе шест града. Съгласно стратегическия документ и провежданата политика се предвижда в този период нормите за ФПЧ</w:t>
      </w:r>
      <w:r w:rsidR="003E53EA" w:rsidRPr="003E53EA">
        <w:rPr>
          <w:rFonts w:ascii="Times New Roman" w:eastAsia="Times New Roman" w:hAnsi="Times New Roman" w:cs="Times New Roman"/>
          <w:sz w:val="24"/>
          <w:szCs w:val="24"/>
          <w:vertAlign w:val="subscript"/>
          <w:lang w:eastAsia="bg-BG"/>
        </w:rPr>
        <w:t>10</w:t>
      </w:r>
      <w:r w:rsidR="003E53EA" w:rsidRPr="003E53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бъдат постигнати и поддържани във всички градове, обект на наказателната процедура. При тази хипотеза населението с подобрено КАВ възлиза на 3 240 370 жители.</w:t>
      </w:r>
    </w:p>
    <w:p w14:paraId="6B081150" w14:textId="6F44EAB8" w:rsidR="001B1961" w:rsidRPr="004E458D" w:rsidRDefault="00C14A09" w:rsidP="00D752C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458D">
        <w:rPr>
          <w:rFonts w:ascii="Times New Roman" w:eastAsia="Times New Roman" w:hAnsi="Times New Roman" w:cs="Times New Roman"/>
          <w:sz w:val="24"/>
          <w:szCs w:val="24"/>
          <w:lang w:eastAsia="bg-BG"/>
        </w:rPr>
        <w:t>Индикатор</w:t>
      </w:r>
      <w:r w:rsidR="001B1961" w:rsidRPr="004E45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B1961" w:rsidRPr="004E458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="003E53EA" w:rsidRPr="003E53E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Емисии на парникови газове на национално ниво</w:t>
      </w:r>
      <w:r w:rsidR="001B1961" w:rsidRPr="004E458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  <w:r w:rsidR="001B1961" w:rsidRPr="004E45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31065" w:rsidRPr="00D3106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измерва постигнат ефект от приложените мерки на национално ниво, насочени към намаляване на емисиите на парникови газове.</w:t>
      </w:r>
      <w:r w:rsidR="001B1961" w:rsidRPr="004E45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2F8D235F" w14:textId="0798E755" w:rsidR="00AD1C83" w:rsidRPr="003C74B7" w:rsidRDefault="00FA7B0E" w:rsidP="00D752C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458D">
        <w:rPr>
          <w:rFonts w:ascii="Times New Roman" w:eastAsia="Times New Roman" w:hAnsi="Times New Roman" w:cs="Times New Roman"/>
          <w:sz w:val="24"/>
          <w:szCs w:val="24"/>
          <w:lang w:eastAsia="bg-BG"/>
        </w:rPr>
        <w:t>Всички ключови индикатори измерват степента на изпълн</w:t>
      </w:r>
      <w:r w:rsidR="00B803D9" w:rsidRPr="004E458D">
        <w:rPr>
          <w:rFonts w:ascii="Times New Roman" w:eastAsia="Times New Roman" w:hAnsi="Times New Roman" w:cs="Times New Roman"/>
          <w:sz w:val="24"/>
          <w:szCs w:val="24"/>
          <w:lang w:eastAsia="bg-BG"/>
        </w:rPr>
        <w:t>ение на стратегическата цел на п</w:t>
      </w:r>
      <w:r w:rsidRPr="004E458D">
        <w:rPr>
          <w:rFonts w:ascii="Times New Roman" w:eastAsia="Times New Roman" w:hAnsi="Times New Roman" w:cs="Times New Roman"/>
          <w:sz w:val="24"/>
          <w:szCs w:val="24"/>
          <w:lang w:eastAsia="bg-BG"/>
        </w:rPr>
        <w:t>олитика</w:t>
      </w:r>
      <w:r w:rsidR="00B803D9" w:rsidRPr="004E458D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4E45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областта на опазването и ползването на компонентите на околната среда: </w:t>
      </w:r>
      <w:r w:rsidR="009B46C5" w:rsidRPr="003C74B7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3C74B7">
        <w:rPr>
          <w:rFonts w:ascii="Times New Roman" w:eastAsia="Times New Roman" w:hAnsi="Times New Roman" w:cs="Times New Roman"/>
          <w:sz w:val="24"/>
          <w:szCs w:val="24"/>
          <w:lang w:eastAsia="bg-BG"/>
        </w:rPr>
        <w:t>пазване, съхранение и увеличаване на природния капитал, подобряване на управлението на отпадъците, преход към ефективна кръгова и конкурентоспособна нисковъглеродна икономика от гледна точка на използването на ресурсите и провеждане на устойчива политика за постигане на здравословна околна среда и защита на населението от свърза</w:t>
      </w:r>
      <w:r w:rsidR="002710B6" w:rsidRPr="003C74B7">
        <w:rPr>
          <w:rFonts w:ascii="Times New Roman" w:eastAsia="Times New Roman" w:hAnsi="Times New Roman" w:cs="Times New Roman"/>
          <w:sz w:val="24"/>
          <w:szCs w:val="24"/>
          <w:lang w:eastAsia="bg-BG"/>
        </w:rPr>
        <w:t>ни с околната среда въздействия.</w:t>
      </w:r>
    </w:p>
    <w:p w14:paraId="5492D059" w14:textId="77777777" w:rsidR="00D752C6" w:rsidRPr="004E458D" w:rsidRDefault="00D752C6" w:rsidP="00D752C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F4FC232" w14:textId="77777777" w:rsidR="00D20DF8" w:rsidRPr="004E458D" w:rsidRDefault="00D20DF8" w:rsidP="00D752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458D">
        <w:rPr>
          <w:rFonts w:ascii="Times New Roman" w:hAnsi="Times New Roman" w:cs="Times New Roman"/>
          <w:b/>
          <w:i/>
          <w:sz w:val="24"/>
          <w:szCs w:val="24"/>
        </w:rPr>
        <w:t xml:space="preserve">Област на политика: </w:t>
      </w:r>
      <w:r w:rsidRPr="004E458D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51D9C62A" w14:textId="77777777" w:rsidR="00C92B65" w:rsidRPr="004E458D" w:rsidRDefault="009B46C5" w:rsidP="00D752C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4E45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Политика в областта на Н</w:t>
      </w:r>
      <w:r w:rsidR="00C92B65" w:rsidRPr="004E45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ационалната система за мониторинг на околната среда и информационна обезпеченост</w:t>
      </w:r>
    </w:p>
    <w:p w14:paraId="2A941678" w14:textId="77777777" w:rsidR="00D20DF8" w:rsidRPr="004E458D" w:rsidRDefault="00D20DF8" w:rsidP="00D752C6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458D">
        <w:rPr>
          <w:rFonts w:ascii="Times New Roman" w:hAnsi="Times New Roman" w:cs="Times New Roman"/>
          <w:b/>
          <w:i/>
          <w:sz w:val="24"/>
          <w:szCs w:val="24"/>
        </w:rPr>
        <w:t>Кратко описание на обхвата на областта на политиката, за която ПРБ отговаря</w:t>
      </w:r>
    </w:p>
    <w:p w14:paraId="0E2ED1F0" w14:textId="5F62E53F" w:rsidR="00551202" w:rsidRPr="004E458D" w:rsidRDefault="00F65EEC" w:rsidP="0055120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Политиката</w:t>
      </w:r>
      <w:r w:rsidR="00C124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областта на Н</w:t>
      </w:r>
      <w:r w:rsidR="00C124C8" w:rsidRPr="00C124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ационалната система за мониторинг на околната среда </w:t>
      </w:r>
      <w:r w:rsidRPr="00F65EEC">
        <w:rPr>
          <w:rFonts w:ascii="Times New Roman" w:eastAsia="Times New Roman" w:hAnsi="Times New Roman" w:cs="Times New Roman"/>
          <w:sz w:val="24"/>
          <w:szCs w:val="24"/>
          <w:lang w:eastAsia="bg-BG"/>
        </w:rPr>
        <w:t>(НСМОС)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124C8" w:rsidRPr="00C124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информационна обезпеченост е насочена към осигуряване на мониторинг на околната среда, анализ и оценка на състоянието на компонентите и факторите на околната среда с цел изготвяне и </w:t>
      </w:r>
      <w:r w:rsidR="00571F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предоставяне</w:t>
      </w:r>
      <w:r w:rsidR="00C124C8" w:rsidRPr="00C124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информация, която да служи за основа за вземане на решения относно ефективността и целесъобразността на провежданите политики в областта на околната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среда. </w:t>
      </w:r>
      <w:r w:rsidRPr="00FE7481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Политиката се реализира</w:t>
      </w:r>
      <w:r w:rsidR="00C124C8" w:rsidRPr="00FE74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чрез </w:t>
      </w:r>
      <w:r w:rsidR="00D11BF2" w:rsidRPr="00FE7481">
        <w:rPr>
          <w:rFonts w:ascii="Times New Roman" w:eastAsia="Times New Roman" w:hAnsi="Times New Roman" w:cs="Times New Roman"/>
          <w:sz w:val="24"/>
          <w:szCs w:val="24"/>
          <w:lang w:eastAsia="bg-BG"/>
        </w:rPr>
        <w:t>мерки</w:t>
      </w:r>
      <w:r w:rsidR="00C124C8" w:rsidRPr="00FE74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="00D11BF2" w:rsidRPr="00FE748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</w:t>
      </w:r>
      <w:r w:rsidR="00C124C8" w:rsidRPr="00FE74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граждане и поддържане на </w:t>
      </w:r>
      <w:r w:rsidRPr="00FE7481">
        <w:rPr>
          <w:rFonts w:ascii="Times New Roman" w:eastAsia="Times New Roman" w:hAnsi="Times New Roman" w:cs="Times New Roman"/>
          <w:sz w:val="24"/>
          <w:szCs w:val="24"/>
          <w:lang w:eastAsia="bg-BG"/>
        </w:rPr>
        <w:t>НСМОС</w:t>
      </w:r>
      <w:r w:rsidR="00C124C8" w:rsidRPr="00FE7481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която гарантира достоверност, пълнота, актуалност, прозрачност и публичност на информацията за състоянието на околната среда за целите на публичната власт и в полза на обществото</w:t>
      </w:r>
      <w:r w:rsidR="00551202" w:rsidRPr="00FE748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5389D95" w14:textId="3F106DE4" w:rsidR="00D20DF8" w:rsidRPr="00284482" w:rsidRDefault="00D20DF8" w:rsidP="00661D04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4482">
        <w:rPr>
          <w:rFonts w:ascii="Times New Roman" w:hAnsi="Times New Roman" w:cs="Times New Roman"/>
          <w:b/>
          <w:i/>
          <w:sz w:val="24"/>
          <w:szCs w:val="24"/>
        </w:rPr>
        <w:lastRenderedPageBreak/>
        <w:t>Отговорност за разпределението на публичните разходи за политиката</w:t>
      </w:r>
    </w:p>
    <w:p w14:paraId="7454A289" w14:textId="403A4F8E" w:rsidR="00284482" w:rsidRDefault="00284482" w:rsidP="00284482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green"/>
        </w:rPr>
      </w:pPr>
    </w:p>
    <w:tbl>
      <w:tblPr>
        <w:tblW w:w="102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900"/>
        <w:gridCol w:w="1200"/>
        <w:gridCol w:w="1200"/>
        <w:gridCol w:w="1240"/>
        <w:gridCol w:w="1180"/>
      </w:tblGrid>
      <w:tr w:rsidR="00284482" w:rsidRPr="00284482" w14:paraId="0C323636" w14:textId="77777777" w:rsidTr="00284482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79F57275" w14:textId="77777777" w:rsidR="00284482" w:rsidRPr="00284482" w:rsidRDefault="00284482" w:rsidP="00284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5834E0DF" w14:textId="77777777" w:rsidR="00284482" w:rsidRPr="00284482" w:rsidRDefault="00284482" w:rsidP="00284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7FA3BA47" w14:textId="77777777" w:rsidR="00284482" w:rsidRPr="00284482" w:rsidRDefault="00284482" w:rsidP="0028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Закон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472E2BE1" w14:textId="77777777" w:rsidR="00284482" w:rsidRPr="00284482" w:rsidRDefault="00284482" w:rsidP="0028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Проект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51563AC4" w14:textId="77777777" w:rsidR="00284482" w:rsidRPr="00284482" w:rsidRDefault="00284482" w:rsidP="0028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Прогноза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74195DD9" w14:textId="77777777" w:rsidR="00284482" w:rsidRPr="00284482" w:rsidRDefault="00284482" w:rsidP="0028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Прогноза</w:t>
            </w:r>
          </w:p>
        </w:tc>
      </w:tr>
      <w:tr w:rsidR="00284482" w:rsidRPr="00284482" w14:paraId="04D407D9" w14:textId="77777777" w:rsidTr="00284482">
        <w:trPr>
          <w:trHeight w:val="7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7D566A23" w14:textId="77777777" w:rsidR="00284482" w:rsidRPr="00284482" w:rsidRDefault="00284482" w:rsidP="00284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7732CD94" w14:textId="77777777" w:rsidR="00284482" w:rsidRPr="00284482" w:rsidRDefault="00284482" w:rsidP="0028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1900.02.00 - Политика в областта на Националната система за мониторинг на околната среда и информационна обезпеченост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7305932F" w14:textId="77777777" w:rsidR="00284482" w:rsidRPr="00284482" w:rsidRDefault="00284482" w:rsidP="0028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37EC6BFC" w14:textId="77777777" w:rsidR="00284482" w:rsidRPr="00284482" w:rsidRDefault="00284482" w:rsidP="0028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2026 г.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03F76A68" w14:textId="77777777" w:rsidR="00284482" w:rsidRPr="00284482" w:rsidRDefault="00284482" w:rsidP="0028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2027 г.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45B9D2AD" w14:textId="77777777" w:rsidR="00284482" w:rsidRPr="00284482" w:rsidRDefault="00284482" w:rsidP="0028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2028 г.</w:t>
            </w:r>
          </w:p>
        </w:tc>
      </w:tr>
      <w:tr w:rsidR="00284482" w:rsidRPr="00284482" w14:paraId="1F4226EB" w14:textId="77777777" w:rsidTr="00284482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DD0DE" w14:textId="77777777" w:rsidR="00284482" w:rsidRPr="00284482" w:rsidRDefault="00284482" w:rsidP="0028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2C7F7" w14:textId="77777777" w:rsidR="00284482" w:rsidRPr="00284482" w:rsidRDefault="00284482" w:rsidP="0028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E171D" w14:textId="77777777" w:rsidR="00284482" w:rsidRPr="00284482" w:rsidRDefault="00284482" w:rsidP="0028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978D8" w14:textId="77777777" w:rsidR="00284482" w:rsidRPr="00284482" w:rsidRDefault="00284482" w:rsidP="0028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DD0FC" w14:textId="77777777" w:rsidR="00284482" w:rsidRPr="00284482" w:rsidRDefault="00284482" w:rsidP="0028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71736" w14:textId="77777777" w:rsidR="00284482" w:rsidRPr="00284482" w:rsidRDefault="00284482" w:rsidP="0028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5</w:t>
            </w:r>
          </w:p>
        </w:tc>
      </w:tr>
      <w:tr w:rsidR="00284482" w:rsidRPr="00284482" w14:paraId="71CB2387" w14:textId="77777777" w:rsidTr="00284482">
        <w:trPr>
          <w:trHeight w:val="9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BD6F8" w14:textId="77777777" w:rsidR="00284482" w:rsidRPr="00284482" w:rsidRDefault="00284482" w:rsidP="00284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2BA84" w14:textId="77777777" w:rsidR="00284482" w:rsidRPr="00284482" w:rsidRDefault="00284482" w:rsidP="00284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Консолидирани разходи в област на политиката по опазването и ползването на компонентите на околната среда, които МОСВ разходва пряко чрез бюджета и отговаря за разпределението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A2C4D" w14:textId="77777777" w:rsidR="00284482" w:rsidRPr="00284482" w:rsidRDefault="00284482" w:rsidP="00284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10 125,1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2515A" w14:textId="77777777" w:rsidR="00284482" w:rsidRPr="00284482" w:rsidRDefault="00284482" w:rsidP="00284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10 930,2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7B931" w14:textId="77777777" w:rsidR="00284482" w:rsidRPr="00284482" w:rsidRDefault="00284482" w:rsidP="00284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10 613,4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8824A" w14:textId="77777777" w:rsidR="00284482" w:rsidRPr="00284482" w:rsidRDefault="00284482" w:rsidP="00284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9 755,2</w:t>
            </w:r>
          </w:p>
        </w:tc>
      </w:tr>
      <w:tr w:rsidR="00284482" w:rsidRPr="00284482" w14:paraId="387BDCAB" w14:textId="77777777" w:rsidTr="00284482">
        <w:trPr>
          <w:trHeight w:val="97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ED94C" w14:textId="77777777" w:rsidR="00284482" w:rsidRPr="00284482" w:rsidRDefault="00284482" w:rsidP="00284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2F7C6" w14:textId="77777777" w:rsidR="00284482" w:rsidRPr="00284482" w:rsidRDefault="00284482" w:rsidP="00284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Консолидирани разходи в област на политиката по опазването и ползването на компонентите на околната среда, финансирани по други бюджети и сметки за средства от ЕС, в т.ч.: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8457D" w14:textId="77777777" w:rsidR="00284482" w:rsidRPr="00284482" w:rsidRDefault="00284482" w:rsidP="00284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EAF18" w14:textId="77777777" w:rsidR="00284482" w:rsidRPr="00284482" w:rsidRDefault="00284482" w:rsidP="00284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FE7BC" w14:textId="77777777" w:rsidR="00284482" w:rsidRPr="00284482" w:rsidRDefault="00284482" w:rsidP="00284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A0417" w14:textId="77777777" w:rsidR="00284482" w:rsidRPr="00284482" w:rsidRDefault="00284482" w:rsidP="00284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0,0</w:t>
            </w:r>
          </w:p>
        </w:tc>
      </w:tr>
      <w:tr w:rsidR="00284482" w:rsidRPr="00284482" w14:paraId="272F3C8A" w14:textId="77777777" w:rsidTr="00284482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D5EB2" w14:textId="77777777" w:rsidR="00284482" w:rsidRPr="00284482" w:rsidRDefault="00284482" w:rsidP="00284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4482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68C96" w14:textId="77777777" w:rsidR="00284482" w:rsidRPr="00284482" w:rsidRDefault="00284482" w:rsidP="002844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bg-BG"/>
              </w:rPr>
              <w:t>Централен бюджет - капиталови разходи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C19A1" w14:textId="77777777" w:rsidR="00284482" w:rsidRPr="00284482" w:rsidRDefault="00284482" w:rsidP="00284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4482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01CBE" w14:textId="77777777" w:rsidR="00284482" w:rsidRPr="00284482" w:rsidRDefault="00284482" w:rsidP="00284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4482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B6409" w14:textId="77777777" w:rsidR="00284482" w:rsidRPr="00284482" w:rsidRDefault="00284482" w:rsidP="00284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4482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9A441" w14:textId="77777777" w:rsidR="00284482" w:rsidRPr="00284482" w:rsidRDefault="00284482" w:rsidP="00284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4482">
              <w:rPr>
                <w:rFonts w:ascii="Calibri" w:eastAsia="Times New Roman" w:hAnsi="Calibri" w:cs="Calibri"/>
                <w:color w:val="000000"/>
                <w:lang w:eastAsia="bg-BG"/>
              </w:rPr>
              <w:t>0,0</w:t>
            </w:r>
          </w:p>
        </w:tc>
      </w:tr>
      <w:tr w:rsidR="00284482" w:rsidRPr="00284482" w14:paraId="472D8C64" w14:textId="77777777" w:rsidTr="00284482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23553" w14:textId="77777777" w:rsidR="00284482" w:rsidRPr="00284482" w:rsidRDefault="00284482" w:rsidP="00284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49E06" w14:textId="77777777" w:rsidR="00284482" w:rsidRPr="00284482" w:rsidRDefault="00284482" w:rsidP="00284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ОБЩО ПО ПОЛИТИКАТА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F2319" w14:textId="77777777" w:rsidR="00284482" w:rsidRPr="00284482" w:rsidRDefault="00284482" w:rsidP="00284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10 125,1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24489" w14:textId="77777777" w:rsidR="00284482" w:rsidRPr="00284482" w:rsidRDefault="00284482" w:rsidP="00284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10 930,2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BF610" w14:textId="77777777" w:rsidR="00284482" w:rsidRPr="00284482" w:rsidRDefault="00284482" w:rsidP="00284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10 613,4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BA9C9" w14:textId="77777777" w:rsidR="00284482" w:rsidRPr="00284482" w:rsidRDefault="00284482" w:rsidP="00284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84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9 755,2</w:t>
            </w:r>
          </w:p>
        </w:tc>
      </w:tr>
    </w:tbl>
    <w:p w14:paraId="499756E1" w14:textId="5AE1B693" w:rsidR="00E86677" w:rsidRDefault="00E86677" w:rsidP="00E86677">
      <w:pPr>
        <w:spacing w:before="120" w:after="120" w:line="240" w:lineRule="auto"/>
        <w:jc w:val="both"/>
        <w:rPr>
          <w:b/>
          <w:i/>
        </w:rPr>
      </w:pPr>
    </w:p>
    <w:p w14:paraId="4DECD891" w14:textId="77777777" w:rsidR="00223AC9" w:rsidRPr="00E124D3" w:rsidRDefault="00223AC9" w:rsidP="00223AC9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24D3">
        <w:rPr>
          <w:rFonts w:ascii="Times New Roman" w:hAnsi="Times New Roman" w:cs="Times New Roman"/>
          <w:b/>
          <w:i/>
          <w:sz w:val="24"/>
          <w:szCs w:val="24"/>
        </w:rPr>
        <w:t xml:space="preserve">Ключови индикатори и целеви стойности </w:t>
      </w: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9"/>
        <w:gridCol w:w="850"/>
        <w:gridCol w:w="993"/>
        <w:gridCol w:w="992"/>
        <w:gridCol w:w="992"/>
      </w:tblGrid>
      <w:tr w:rsidR="00054301" w:rsidRPr="00345526" w14:paraId="4E716EF5" w14:textId="515871D1" w:rsidTr="00AB1A00">
        <w:trPr>
          <w:trHeight w:val="561"/>
        </w:trPr>
        <w:tc>
          <w:tcPr>
            <w:tcW w:w="9796" w:type="dxa"/>
            <w:gridSpan w:val="5"/>
            <w:shd w:val="clear" w:color="auto" w:fill="FFCC99"/>
            <w:vAlign w:val="center"/>
          </w:tcPr>
          <w:p w14:paraId="49133E76" w14:textId="3F17ED9B" w:rsidR="00054301" w:rsidRPr="00D614F9" w:rsidRDefault="00054301" w:rsidP="0034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D614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КЛЮЧОВИ ИНДИКАТОРИ ЗА ИЗПЪЛНЕНИЕ И ЦЕЛЕВИ СТОЙНОСТИ</w:t>
            </w:r>
          </w:p>
        </w:tc>
      </w:tr>
      <w:tr w:rsidR="00054301" w:rsidRPr="00345526" w14:paraId="2A3C801B" w14:textId="024FFF0D" w:rsidTr="00AB1A00">
        <w:trPr>
          <w:trHeight w:val="263"/>
        </w:trPr>
        <w:tc>
          <w:tcPr>
            <w:tcW w:w="5969" w:type="dxa"/>
            <w:shd w:val="clear" w:color="auto" w:fill="FFCC99"/>
            <w:vAlign w:val="center"/>
          </w:tcPr>
          <w:p w14:paraId="3E1346CE" w14:textId="68569DD4" w:rsidR="00054301" w:rsidRPr="00D614F9" w:rsidRDefault="00054301" w:rsidP="00C3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bg-BG"/>
              </w:rPr>
              <w:t>Политика в областта на Н</w:t>
            </w:r>
            <w:r w:rsidRPr="00D614F9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bg-BG"/>
              </w:rPr>
              <w:t>ационалната система за мониторинг на околната среда и информационна обезпеченост</w:t>
            </w:r>
          </w:p>
        </w:tc>
        <w:tc>
          <w:tcPr>
            <w:tcW w:w="3827" w:type="dxa"/>
            <w:gridSpan w:val="4"/>
            <w:shd w:val="clear" w:color="auto" w:fill="FFCC99"/>
            <w:vAlign w:val="center"/>
          </w:tcPr>
          <w:p w14:paraId="51F84274" w14:textId="511C9027" w:rsidR="00054301" w:rsidRPr="00345526" w:rsidRDefault="00054301" w:rsidP="0074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55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Целева стойност</w:t>
            </w:r>
          </w:p>
        </w:tc>
      </w:tr>
      <w:tr w:rsidR="00AB1A00" w:rsidRPr="00345526" w14:paraId="67139537" w14:textId="3C1A46D7" w:rsidTr="00AB1A00">
        <w:trPr>
          <w:trHeight w:val="465"/>
        </w:trPr>
        <w:tc>
          <w:tcPr>
            <w:tcW w:w="5969" w:type="dxa"/>
            <w:shd w:val="clear" w:color="auto" w:fill="FFCC99"/>
            <w:vAlign w:val="center"/>
          </w:tcPr>
          <w:p w14:paraId="6E0B5935" w14:textId="77777777" w:rsidR="00AB1A00" w:rsidRPr="00345526" w:rsidRDefault="00AB1A00" w:rsidP="0005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D614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Наименование на индикатора</w:t>
            </w:r>
          </w:p>
        </w:tc>
        <w:tc>
          <w:tcPr>
            <w:tcW w:w="850" w:type="dxa"/>
            <w:shd w:val="clear" w:color="auto" w:fill="FFCC99"/>
            <w:vAlign w:val="center"/>
          </w:tcPr>
          <w:p w14:paraId="446A3872" w14:textId="77777777" w:rsidR="00AB1A00" w:rsidRPr="00345526" w:rsidRDefault="00AB1A00" w:rsidP="0005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55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Мерна единица</w:t>
            </w:r>
          </w:p>
        </w:tc>
        <w:tc>
          <w:tcPr>
            <w:tcW w:w="993" w:type="dxa"/>
            <w:shd w:val="clear" w:color="auto" w:fill="FFCC99"/>
            <w:vAlign w:val="center"/>
          </w:tcPr>
          <w:p w14:paraId="3A04405C" w14:textId="1FB4A9BA" w:rsidR="00AB1A00" w:rsidRPr="004F6515" w:rsidRDefault="00AB1A00" w:rsidP="0005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Проект</w:t>
            </w:r>
            <w:r w:rsidRPr="004F651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2026 г.</w:t>
            </w:r>
          </w:p>
        </w:tc>
        <w:tc>
          <w:tcPr>
            <w:tcW w:w="992" w:type="dxa"/>
            <w:shd w:val="clear" w:color="auto" w:fill="FFCC99"/>
            <w:vAlign w:val="center"/>
          </w:tcPr>
          <w:p w14:paraId="5025E62F" w14:textId="650D9C72" w:rsidR="00AB1A00" w:rsidRPr="004F6515" w:rsidRDefault="00AB1A00" w:rsidP="0005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bg-BG"/>
              </w:rPr>
            </w:pPr>
            <w:r w:rsidRPr="002A13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bg-BG"/>
              </w:rPr>
              <w:t>Прогноза 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bg-BG"/>
              </w:rPr>
              <w:t>7</w:t>
            </w:r>
            <w:r w:rsidRPr="002A13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bg-BG"/>
              </w:rPr>
              <w:t xml:space="preserve"> г.</w:t>
            </w:r>
          </w:p>
        </w:tc>
        <w:tc>
          <w:tcPr>
            <w:tcW w:w="992" w:type="dxa"/>
            <w:shd w:val="clear" w:color="auto" w:fill="FFCC99"/>
            <w:vAlign w:val="center"/>
          </w:tcPr>
          <w:p w14:paraId="571C89C2" w14:textId="60C04FF5" w:rsidR="00AB1A00" w:rsidRPr="002A1312" w:rsidRDefault="00AB1A00" w:rsidP="0005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bg-BG"/>
              </w:rPr>
            </w:pPr>
            <w:r w:rsidRPr="002A13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bg-BG"/>
              </w:rPr>
              <w:t>Прогноза 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bg-BG"/>
              </w:rPr>
              <w:t>8</w:t>
            </w:r>
            <w:r w:rsidRPr="002A13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bg-BG"/>
              </w:rPr>
              <w:t xml:space="preserve"> г.</w:t>
            </w:r>
          </w:p>
        </w:tc>
      </w:tr>
      <w:tr w:rsidR="00AB1A00" w:rsidRPr="00345526" w14:paraId="29A9DC29" w14:textId="7CDDC7A4" w:rsidTr="00AB1A00">
        <w:trPr>
          <w:trHeight w:val="263"/>
        </w:trPr>
        <w:tc>
          <w:tcPr>
            <w:tcW w:w="5969" w:type="dxa"/>
            <w:shd w:val="clear" w:color="auto" w:fill="auto"/>
          </w:tcPr>
          <w:p w14:paraId="75503BD0" w14:textId="5C1502CC" w:rsidR="00AB1A00" w:rsidRPr="000C26CD" w:rsidRDefault="00AB1A00" w:rsidP="0005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0C26CD">
              <w:rPr>
                <w:rFonts w:ascii="Times New Roman" w:hAnsi="Times New Roman" w:cs="Times New Roman"/>
                <w:sz w:val="16"/>
                <w:szCs w:val="16"/>
              </w:rPr>
              <w:t>1. Изпълнени програми за мониторинг на компонентите и факторите на околната среда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139CCA" w14:textId="77777777" w:rsidR="00AB1A00" w:rsidRPr="00345526" w:rsidRDefault="00AB1A00" w:rsidP="0005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5526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брой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2BF88" w14:textId="5E66A537" w:rsidR="00AB1A00" w:rsidRPr="004F6515" w:rsidRDefault="00AB1A00" w:rsidP="0005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F651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AAF8D" w14:textId="4B91E63C" w:rsidR="00AB1A00" w:rsidRPr="004F6515" w:rsidRDefault="00AB1A00" w:rsidP="0005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F651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vAlign w:val="center"/>
          </w:tcPr>
          <w:p w14:paraId="6340DB8F" w14:textId="39399AEC" w:rsidR="00AB1A00" w:rsidRPr="004F6515" w:rsidRDefault="00AB1A00" w:rsidP="002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AB1A00" w:rsidRPr="00345526" w14:paraId="49BF4797" w14:textId="4A33D5E4" w:rsidTr="00AB1A00">
        <w:trPr>
          <w:trHeight w:val="263"/>
        </w:trPr>
        <w:tc>
          <w:tcPr>
            <w:tcW w:w="5969" w:type="dxa"/>
            <w:shd w:val="clear" w:color="auto" w:fill="auto"/>
            <w:vAlign w:val="center"/>
          </w:tcPr>
          <w:p w14:paraId="746FC98A" w14:textId="3B63EF56" w:rsidR="00AB1A00" w:rsidRPr="000C26CD" w:rsidRDefault="00AB1A00" w:rsidP="0005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</w:pPr>
            <w:r w:rsidRPr="000C26CD">
              <w:rPr>
                <w:rFonts w:ascii="Times New Roman" w:hAnsi="Times New Roman" w:cs="Times New Roman"/>
                <w:sz w:val="16"/>
                <w:szCs w:val="16"/>
              </w:rPr>
              <w:t>2. Поддържани информационни системи/ системи с публичен достъп на НСМОС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939942" w14:textId="77777777" w:rsidR="00AB1A00" w:rsidRPr="00345526" w:rsidRDefault="00AB1A00" w:rsidP="0005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5526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брой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6B68FE" w14:textId="22DD249F" w:rsidR="00AB1A00" w:rsidRPr="004F6515" w:rsidRDefault="00AB1A00" w:rsidP="0005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</w:pPr>
            <w:r w:rsidRPr="004F6515">
              <w:rPr>
                <w:rFonts w:ascii="Times New Roman" w:hAnsi="Times New Roman" w:cs="Times New Roman"/>
                <w:sz w:val="16"/>
                <w:szCs w:val="16"/>
              </w:rPr>
              <w:t>20/12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7C765" w14:textId="373A699C" w:rsidR="00AB1A00" w:rsidRPr="004F6515" w:rsidRDefault="00AB1A00" w:rsidP="0005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</w:pPr>
            <w:r w:rsidRPr="004F6515">
              <w:rPr>
                <w:rFonts w:ascii="Times New Roman" w:hAnsi="Times New Roman" w:cs="Times New Roman"/>
                <w:sz w:val="16"/>
                <w:szCs w:val="16"/>
              </w:rPr>
              <w:t>20/12</w:t>
            </w:r>
          </w:p>
        </w:tc>
        <w:tc>
          <w:tcPr>
            <w:tcW w:w="992" w:type="dxa"/>
            <w:vAlign w:val="center"/>
          </w:tcPr>
          <w:p w14:paraId="41A1569B" w14:textId="0E93D79B" w:rsidR="00AB1A00" w:rsidRPr="004F6515" w:rsidRDefault="00AB1A00" w:rsidP="002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9E6">
              <w:rPr>
                <w:rFonts w:ascii="Times New Roman" w:hAnsi="Times New Roman" w:cs="Times New Roman"/>
                <w:sz w:val="16"/>
                <w:szCs w:val="16"/>
              </w:rPr>
              <w:t>20/12</w:t>
            </w:r>
          </w:p>
        </w:tc>
      </w:tr>
      <w:tr w:rsidR="00AB1A00" w:rsidRPr="00345526" w14:paraId="3DD0759A" w14:textId="65845CC9" w:rsidTr="00AB1A00">
        <w:trPr>
          <w:trHeight w:val="263"/>
        </w:trPr>
        <w:tc>
          <w:tcPr>
            <w:tcW w:w="5969" w:type="dxa"/>
            <w:shd w:val="clear" w:color="auto" w:fill="auto"/>
            <w:vAlign w:val="center"/>
          </w:tcPr>
          <w:p w14:paraId="4A2A57C1" w14:textId="57DBF09D" w:rsidR="00AB1A00" w:rsidRPr="000C26CD" w:rsidRDefault="00AB1A00" w:rsidP="00054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bg-BG"/>
              </w:rPr>
            </w:pPr>
            <w:r w:rsidRPr="000C26CD">
              <w:rPr>
                <w:rFonts w:ascii="Times New Roman" w:hAnsi="Times New Roman" w:cs="Times New Roman"/>
                <w:sz w:val="16"/>
                <w:szCs w:val="16"/>
              </w:rPr>
              <w:t>3. Поддържани регистри с публичен достъп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75672C" w14:textId="77777777" w:rsidR="00AB1A00" w:rsidRPr="00345526" w:rsidRDefault="00AB1A00" w:rsidP="0005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5526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брой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03D795" w14:textId="096B5230" w:rsidR="00AB1A00" w:rsidRPr="004F6515" w:rsidRDefault="00AB1A00" w:rsidP="0005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22560" w14:textId="35BBB8DB" w:rsidR="00AB1A00" w:rsidRPr="004F6515" w:rsidRDefault="00AB1A00" w:rsidP="0005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center"/>
          </w:tcPr>
          <w:p w14:paraId="21E87B1D" w14:textId="4CECFBED" w:rsidR="00AB1A00" w:rsidRDefault="00AB1A00" w:rsidP="002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AB1A00" w:rsidRPr="00345526" w14:paraId="21A7149B" w14:textId="6EC7D72E" w:rsidTr="00AB1A00">
        <w:trPr>
          <w:trHeight w:val="278"/>
        </w:trPr>
        <w:tc>
          <w:tcPr>
            <w:tcW w:w="5969" w:type="dxa"/>
            <w:shd w:val="clear" w:color="auto" w:fill="auto"/>
            <w:vAlign w:val="center"/>
          </w:tcPr>
          <w:p w14:paraId="013C7801" w14:textId="5726648B" w:rsidR="00AB1A00" w:rsidRPr="000C26CD" w:rsidRDefault="00AB1A00" w:rsidP="0005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0C26CD">
              <w:rPr>
                <w:rFonts w:ascii="Times New Roman" w:hAnsi="Times New Roman" w:cs="Times New Roman"/>
                <w:sz w:val="16"/>
                <w:szCs w:val="16"/>
              </w:rPr>
              <w:t>4. Изготвени доклади за състоянието на околната среда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D476CA" w14:textId="77777777" w:rsidR="00AB1A00" w:rsidRPr="00345526" w:rsidRDefault="00AB1A00" w:rsidP="0005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5526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брой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DDCE3D" w14:textId="639CF931" w:rsidR="00AB1A00" w:rsidRPr="004F6515" w:rsidRDefault="00AB1A00" w:rsidP="0005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F651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E01F7" w14:textId="27E89D10" w:rsidR="00AB1A00" w:rsidRPr="004F6515" w:rsidRDefault="00AB1A00" w:rsidP="0005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F651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14:paraId="03970324" w14:textId="48109A75" w:rsidR="00AB1A00" w:rsidRPr="004F6515" w:rsidRDefault="00AB1A00" w:rsidP="002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AB1A00" w:rsidRPr="00345526" w14:paraId="594BBAAB" w14:textId="53602045" w:rsidTr="00AB1A00">
        <w:trPr>
          <w:trHeight w:val="278"/>
        </w:trPr>
        <w:tc>
          <w:tcPr>
            <w:tcW w:w="5969" w:type="dxa"/>
            <w:shd w:val="clear" w:color="auto" w:fill="auto"/>
            <w:vAlign w:val="center"/>
          </w:tcPr>
          <w:p w14:paraId="21CE32D6" w14:textId="2C8C5577" w:rsidR="00AB1A00" w:rsidRPr="000C26CD" w:rsidRDefault="00AB1A00" w:rsidP="0005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0C26CD">
              <w:rPr>
                <w:rFonts w:ascii="Times New Roman" w:hAnsi="Times New Roman" w:cs="Times New Roman"/>
                <w:sz w:val="16"/>
                <w:szCs w:val="16"/>
              </w:rPr>
              <w:t>5. Докладва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 до международни институции*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80FBE1" w14:textId="77777777" w:rsidR="00AB1A00" w:rsidRPr="00345526" w:rsidRDefault="00AB1A00" w:rsidP="0005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345526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брой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4BD329" w14:textId="3379C48E" w:rsidR="00AB1A00" w:rsidRPr="004F6515" w:rsidRDefault="00AB1A00" w:rsidP="0005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F65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09F71" w14:textId="30162D5A" w:rsidR="00AB1A00" w:rsidRPr="004F6515" w:rsidRDefault="00AB1A00" w:rsidP="0005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F65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14:paraId="29C2C6A4" w14:textId="34002A6D" w:rsidR="00AB1A00" w:rsidRPr="004F6515" w:rsidRDefault="00AB1A00" w:rsidP="002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</w:tbl>
    <w:p w14:paraId="7833AD30" w14:textId="024CFDA8" w:rsidR="00184549" w:rsidRDefault="003A19E6" w:rsidP="00D70C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*</w:t>
      </w:r>
      <w:r w:rsidR="00D70CB1" w:rsidRPr="00D70CB1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Докладванията по някои международни програми, директиви и конвенции не е ежегодно, а на период от няколко години. </w:t>
      </w:r>
      <w:r w:rsidR="00184549" w:rsidRPr="00184549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</w:p>
    <w:p w14:paraId="7187F834" w14:textId="14D5A65F" w:rsidR="00184549" w:rsidRDefault="00184549" w:rsidP="00184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595D6C3" w14:textId="248E3AAE" w:rsidR="003A19E6" w:rsidRPr="003A19E6" w:rsidRDefault="003C74B7" w:rsidP="003A1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Индикаторите</w:t>
      </w:r>
      <w:r w:rsidR="003A19E6" w:rsidRPr="003A1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с основна роля по отношение на оценката на мерките за гарантиране на информационна обезпеченост на процесите на вз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3A19E6" w:rsidRPr="003A19E6">
        <w:rPr>
          <w:rFonts w:ascii="Times New Roman" w:eastAsia="Times New Roman" w:hAnsi="Times New Roman" w:cs="Times New Roman"/>
          <w:sz w:val="24"/>
          <w:szCs w:val="24"/>
          <w:lang w:eastAsia="bg-BG"/>
        </w:rPr>
        <w:t>мане на решения за околната среда на политическо и оперативно ниво чрез: осигуряване на актуална и достатъчна по обхват информация; анализ и оценка на състоянието на компонентите на околната среда и факторите, влияещи върху тях; предоставяне на достъп до информацията; предоставяне на необходимата информация на държавните институции за целите на управлението на околната среда и докладване в изпълнение на изискванията на международното екологично законодателство.</w:t>
      </w:r>
    </w:p>
    <w:p w14:paraId="562B3E84" w14:textId="7BF2CC2F" w:rsidR="00A77418" w:rsidRPr="003C74B7" w:rsidRDefault="003A19E6" w:rsidP="00AB1A0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19E6">
        <w:rPr>
          <w:rFonts w:ascii="Times New Roman" w:eastAsia="Times New Roman" w:hAnsi="Times New Roman" w:cs="Times New Roman"/>
          <w:sz w:val="24"/>
          <w:szCs w:val="24"/>
          <w:lang w:eastAsia="bg-BG"/>
        </w:rPr>
        <w:t>Всички ключови индикатори измерват степента на изпълн</w:t>
      </w:r>
      <w:r w:rsidR="00AB1A00">
        <w:rPr>
          <w:rFonts w:ascii="Times New Roman" w:eastAsia="Times New Roman" w:hAnsi="Times New Roman" w:cs="Times New Roman"/>
          <w:sz w:val="24"/>
          <w:szCs w:val="24"/>
          <w:lang w:eastAsia="bg-BG"/>
        </w:rPr>
        <w:t>ение на стратегическата цел на п</w:t>
      </w:r>
      <w:r w:rsidRPr="003A19E6">
        <w:rPr>
          <w:rFonts w:ascii="Times New Roman" w:eastAsia="Times New Roman" w:hAnsi="Times New Roman" w:cs="Times New Roman"/>
          <w:sz w:val="24"/>
          <w:szCs w:val="24"/>
          <w:lang w:eastAsia="bg-BG"/>
        </w:rPr>
        <w:t>олитика</w:t>
      </w:r>
      <w:r w:rsidR="00AB1A00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3A1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областта на </w:t>
      </w:r>
      <w:r w:rsidR="00AB1A00" w:rsidRPr="00AB1A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Националната система за мониторинг на околната среда </w:t>
      </w:r>
      <w:r w:rsidRPr="003A1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информационна обезпеченост: </w:t>
      </w:r>
      <w:r w:rsidR="003C74B7">
        <w:rPr>
          <w:rFonts w:ascii="Times New Roman" w:eastAsia="Times New Roman" w:hAnsi="Times New Roman" w:cs="Times New Roman"/>
          <w:sz w:val="24"/>
          <w:szCs w:val="24"/>
          <w:lang w:eastAsia="bg-BG"/>
        </w:rPr>
        <w:t>мониторинг на околната среда,</w:t>
      </w:r>
      <w:r w:rsidRPr="003C74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анализ и оценка на състоянието на компонентите и факторите на околната среда за изготвяне и предоставяне на информация, която да служи за основа за вземане на решения относно ефективността и целесъобразността на провежданите политики в областта </w:t>
      </w:r>
      <w:r w:rsidR="003C74B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околната среда</w:t>
      </w:r>
      <w:r w:rsidRPr="003C74B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F0864D4" w14:textId="77777777" w:rsidR="003A19E6" w:rsidRDefault="003A19E6" w:rsidP="003A1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14:paraId="4DC4D052" w14:textId="77777777" w:rsidR="00C2307B" w:rsidRPr="004E458D" w:rsidRDefault="00C2307B" w:rsidP="00C23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458D">
        <w:rPr>
          <w:rFonts w:ascii="Times New Roman" w:hAnsi="Times New Roman" w:cs="Times New Roman"/>
          <w:b/>
          <w:i/>
          <w:sz w:val="24"/>
          <w:szCs w:val="24"/>
        </w:rPr>
        <w:t xml:space="preserve">Област на политика: </w:t>
      </w:r>
      <w:r w:rsidRPr="004E458D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5531436C" w14:textId="20D0E8F1" w:rsidR="00A77418" w:rsidRPr="00C9729A" w:rsidRDefault="001939D7" w:rsidP="00C2307B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lastRenderedPageBreak/>
        <w:t>Политика в областта на д</w:t>
      </w:r>
      <w:r w:rsidR="00A77418" w:rsidRPr="00C9729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руги бюджетни програми</w:t>
      </w:r>
    </w:p>
    <w:p w14:paraId="5DF463F8" w14:textId="77777777" w:rsidR="00A77418" w:rsidRPr="00C9729A" w:rsidRDefault="00A77418" w:rsidP="00A7741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3AC03DA" w14:textId="0CF11E1E" w:rsidR="00A77418" w:rsidRDefault="00A77418" w:rsidP="00A7741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729A">
        <w:rPr>
          <w:rFonts w:ascii="Times New Roman" w:hAnsi="Times New Roman" w:cs="Times New Roman"/>
          <w:b/>
          <w:i/>
          <w:sz w:val="24"/>
          <w:szCs w:val="24"/>
        </w:rPr>
        <w:t xml:space="preserve">Бюджетна програма </w:t>
      </w:r>
      <w:r w:rsidR="00BC2767" w:rsidRPr="00BC2767">
        <w:rPr>
          <w:rFonts w:ascii="Times New Roman" w:hAnsi="Times New Roman" w:cs="Times New Roman"/>
          <w:b/>
          <w:i/>
          <w:sz w:val="24"/>
          <w:szCs w:val="24"/>
        </w:rPr>
        <w:t xml:space="preserve">1900.03.01 </w:t>
      </w:r>
      <w:r w:rsidRPr="00C9729A">
        <w:rPr>
          <w:rFonts w:ascii="Times New Roman" w:hAnsi="Times New Roman" w:cs="Times New Roman"/>
          <w:b/>
          <w:i/>
          <w:sz w:val="24"/>
          <w:szCs w:val="24"/>
        </w:rPr>
        <w:t>„Дейности по метеорология,</w:t>
      </w:r>
      <w:r w:rsidR="00BC2767">
        <w:rPr>
          <w:rFonts w:ascii="Times New Roman" w:hAnsi="Times New Roman" w:cs="Times New Roman"/>
          <w:b/>
          <w:i/>
          <w:sz w:val="24"/>
          <w:szCs w:val="24"/>
        </w:rPr>
        <w:t xml:space="preserve"> хидрология и агрометеорология“</w:t>
      </w:r>
    </w:p>
    <w:p w14:paraId="5AB6A3C6" w14:textId="4A5E1D54" w:rsidR="008108DB" w:rsidRPr="008108DB" w:rsidRDefault="008108DB" w:rsidP="00BC2767">
      <w:pPr>
        <w:widowControl w:val="0"/>
        <w:spacing w:before="120" w:after="0" w:line="278" w:lineRule="exact"/>
        <w:ind w:left="23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 w:bidi="bg-BG"/>
        </w:rPr>
      </w:pPr>
      <w:r w:rsidRPr="008108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 w:bidi="bg-BG"/>
        </w:rPr>
        <w:t>Индикатор за изпълнение на ежегодната цел е осигуряване на постоянен и непрекъснат мониторинг на хидрометеорологичните условия в страната, издаване на ежедневни прогнози и навременни предупреждения за предстоящи опасни хидрометеорологични явления в подкрепа на отговорните институции</w:t>
      </w:r>
      <w:r w:rsidR="00BC27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 w:bidi="bg-BG"/>
        </w:rPr>
        <w:t>,</w:t>
      </w:r>
      <w:r w:rsidRPr="008108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 w:bidi="bg-BG"/>
        </w:rPr>
        <w:t xml:space="preserve"> с цел да осъществят превенция и намаляване на неблагоприятните въздействия </w:t>
      </w:r>
      <w:r w:rsidR="00BC27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 w:bidi="bg-BG"/>
        </w:rPr>
        <w:t>на</w:t>
      </w:r>
      <w:r w:rsidRPr="008108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 w:bidi="bg-BG"/>
        </w:rPr>
        <w:t xml:space="preserve"> природните бедствия от хидрометеорологичен произход.</w:t>
      </w:r>
    </w:p>
    <w:p w14:paraId="4DEBCE88" w14:textId="77777777" w:rsidR="009C7A39" w:rsidRPr="00EB68D8" w:rsidRDefault="009C7A39" w:rsidP="00EB68D8">
      <w:pPr>
        <w:widowControl w:val="0"/>
        <w:spacing w:after="123" w:line="278" w:lineRule="exact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</w:p>
    <w:p w14:paraId="7AE4932C" w14:textId="77777777" w:rsidR="00EB68D8" w:rsidRPr="00F9581C" w:rsidRDefault="00EB68D8" w:rsidP="00EB68D8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581C">
        <w:rPr>
          <w:rFonts w:ascii="Times New Roman" w:hAnsi="Times New Roman" w:cs="Times New Roman"/>
          <w:b/>
          <w:i/>
          <w:sz w:val="24"/>
          <w:szCs w:val="24"/>
        </w:rPr>
        <w:t>Отговорност за разпределението на публичните разходи за политиката</w:t>
      </w:r>
    </w:p>
    <w:p w14:paraId="6FA63DB3" w14:textId="2D4FF74D" w:rsidR="00284482" w:rsidRDefault="00284482" w:rsidP="00EB68D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bg-BG"/>
        </w:rPr>
      </w:pPr>
    </w:p>
    <w:tbl>
      <w:tblPr>
        <w:tblW w:w="102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900"/>
        <w:gridCol w:w="1200"/>
        <w:gridCol w:w="1200"/>
        <w:gridCol w:w="1240"/>
        <w:gridCol w:w="1180"/>
      </w:tblGrid>
      <w:tr w:rsidR="00F9581C" w:rsidRPr="00F9581C" w14:paraId="4ABF0E44" w14:textId="77777777" w:rsidTr="00F9581C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5B068233" w14:textId="77777777" w:rsidR="00F9581C" w:rsidRPr="00F9581C" w:rsidRDefault="00F9581C" w:rsidP="00F9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23BDCB66" w14:textId="77777777" w:rsidR="00F9581C" w:rsidRPr="00F9581C" w:rsidRDefault="00F9581C" w:rsidP="00F9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4330DEF9" w14:textId="77777777" w:rsidR="00F9581C" w:rsidRPr="00F9581C" w:rsidRDefault="00F9581C" w:rsidP="00F9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Закон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44E6C4E8" w14:textId="77777777" w:rsidR="00F9581C" w:rsidRPr="00F9581C" w:rsidRDefault="00F9581C" w:rsidP="00F9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Проект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641CD8F0" w14:textId="77777777" w:rsidR="00F9581C" w:rsidRPr="00F9581C" w:rsidRDefault="00F9581C" w:rsidP="00F9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Прогноза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41BB552A" w14:textId="77777777" w:rsidR="00F9581C" w:rsidRPr="00F9581C" w:rsidRDefault="00F9581C" w:rsidP="00F9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Прогноза</w:t>
            </w:r>
          </w:p>
        </w:tc>
      </w:tr>
      <w:tr w:rsidR="00F9581C" w:rsidRPr="00F9581C" w14:paraId="71ACE4F1" w14:textId="77777777" w:rsidTr="00F9581C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1E9310A9" w14:textId="77777777" w:rsidR="00F9581C" w:rsidRPr="00F9581C" w:rsidRDefault="00F9581C" w:rsidP="00F9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0AF2E197" w14:textId="77777777" w:rsidR="00F9581C" w:rsidRPr="00F9581C" w:rsidRDefault="00F9581C" w:rsidP="00F9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1900.03.00 - Други бюджетни програми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22C50831" w14:textId="77777777" w:rsidR="00F9581C" w:rsidRPr="00F9581C" w:rsidRDefault="00F9581C" w:rsidP="00F9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7BD80B53" w14:textId="77777777" w:rsidR="00F9581C" w:rsidRPr="00F9581C" w:rsidRDefault="00F9581C" w:rsidP="00F9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2026 г.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2A3772F4" w14:textId="77777777" w:rsidR="00F9581C" w:rsidRPr="00F9581C" w:rsidRDefault="00F9581C" w:rsidP="00F9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2027 г.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2C41C199" w14:textId="77777777" w:rsidR="00F9581C" w:rsidRPr="00F9581C" w:rsidRDefault="00F9581C" w:rsidP="00F9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2028 г.</w:t>
            </w:r>
          </w:p>
        </w:tc>
      </w:tr>
      <w:tr w:rsidR="00F9581C" w:rsidRPr="00F9581C" w14:paraId="5F75FB60" w14:textId="77777777" w:rsidTr="00F9581C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7F401" w14:textId="77777777" w:rsidR="00F9581C" w:rsidRPr="00F9581C" w:rsidRDefault="00F9581C" w:rsidP="00F9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886FB" w14:textId="77777777" w:rsidR="00F9581C" w:rsidRPr="00F9581C" w:rsidRDefault="00F9581C" w:rsidP="00F9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F2301" w14:textId="77777777" w:rsidR="00F9581C" w:rsidRPr="00F9581C" w:rsidRDefault="00F9581C" w:rsidP="00F9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E8C57" w14:textId="77777777" w:rsidR="00F9581C" w:rsidRPr="00F9581C" w:rsidRDefault="00F9581C" w:rsidP="00F9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AE18A" w14:textId="77777777" w:rsidR="00F9581C" w:rsidRPr="00F9581C" w:rsidRDefault="00F9581C" w:rsidP="00F9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B2F64" w14:textId="77777777" w:rsidR="00F9581C" w:rsidRPr="00F9581C" w:rsidRDefault="00F9581C" w:rsidP="00F9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5</w:t>
            </w:r>
          </w:p>
        </w:tc>
      </w:tr>
      <w:tr w:rsidR="00F9581C" w:rsidRPr="00F9581C" w14:paraId="49F1B73F" w14:textId="77777777" w:rsidTr="00F9581C">
        <w:trPr>
          <w:trHeight w:val="9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968DE" w14:textId="77777777" w:rsidR="00F9581C" w:rsidRPr="00F9581C" w:rsidRDefault="00F9581C" w:rsidP="00F9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8E211" w14:textId="77777777" w:rsidR="00F9581C" w:rsidRPr="00F9581C" w:rsidRDefault="00F9581C" w:rsidP="00F9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Консолидирани разходи в област на политиката по опазването и ползването на компонентите на околната среда, които МОСВ разходва пряко чрез бюджета и отговаря за разпределението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582B7" w14:textId="77777777" w:rsidR="00F9581C" w:rsidRPr="00F9581C" w:rsidRDefault="00F9581C" w:rsidP="00F9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17 685,0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46679" w14:textId="77777777" w:rsidR="00F9581C" w:rsidRPr="00F9581C" w:rsidRDefault="00F9581C" w:rsidP="00F9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19 335,9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BE813" w14:textId="77777777" w:rsidR="00F9581C" w:rsidRPr="00F9581C" w:rsidRDefault="00F9581C" w:rsidP="00F9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17 649,7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322FB" w14:textId="77777777" w:rsidR="00F9581C" w:rsidRPr="00F9581C" w:rsidRDefault="00F9581C" w:rsidP="00F9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17 395,9</w:t>
            </w:r>
          </w:p>
        </w:tc>
      </w:tr>
      <w:tr w:rsidR="00F9581C" w:rsidRPr="00F9581C" w14:paraId="2636CF5A" w14:textId="77777777" w:rsidTr="00F9581C">
        <w:trPr>
          <w:trHeight w:val="97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FD157" w14:textId="77777777" w:rsidR="00F9581C" w:rsidRPr="00F9581C" w:rsidRDefault="00F9581C" w:rsidP="00F9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ECE32" w14:textId="77777777" w:rsidR="00F9581C" w:rsidRPr="00F9581C" w:rsidRDefault="00F9581C" w:rsidP="00F9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Консолидирани разходи в област на политиката по опазването и ползването на компонентите на околната среда, финансирани по други бюджети и сметки за средства от ЕС, в т.ч.: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93AF7" w14:textId="77777777" w:rsidR="00F9581C" w:rsidRPr="00F9581C" w:rsidRDefault="00F9581C" w:rsidP="00F9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7F7AA" w14:textId="77777777" w:rsidR="00F9581C" w:rsidRPr="00F9581C" w:rsidRDefault="00F9581C" w:rsidP="00F9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4F7BF" w14:textId="77777777" w:rsidR="00F9581C" w:rsidRPr="00F9581C" w:rsidRDefault="00F9581C" w:rsidP="00F9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11CB2" w14:textId="77777777" w:rsidR="00F9581C" w:rsidRPr="00F9581C" w:rsidRDefault="00F9581C" w:rsidP="00F9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0,0</w:t>
            </w:r>
          </w:p>
        </w:tc>
      </w:tr>
      <w:tr w:rsidR="00F9581C" w:rsidRPr="00F9581C" w14:paraId="29989041" w14:textId="77777777" w:rsidTr="00F9581C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D7EBF" w14:textId="77777777" w:rsidR="00F9581C" w:rsidRPr="00F9581C" w:rsidRDefault="00F9581C" w:rsidP="00F95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9581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43110" w14:textId="77777777" w:rsidR="00F9581C" w:rsidRPr="00F9581C" w:rsidRDefault="00F9581C" w:rsidP="00F958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bg-BG"/>
              </w:rPr>
              <w:t>Централен бюджет - капиталови разходи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B1E2F" w14:textId="77777777" w:rsidR="00F9581C" w:rsidRPr="00F9581C" w:rsidRDefault="00F9581C" w:rsidP="00F9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1D613" w14:textId="77777777" w:rsidR="00F9581C" w:rsidRPr="00F9581C" w:rsidRDefault="00F9581C" w:rsidP="00F9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E9169" w14:textId="77777777" w:rsidR="00F9581C" w:rsidRPr="00F9581C" w:rsidRDefault="00F9581C" w:rsidP="00F9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D4261" w14:textId="77777777" w:rsidR="00F9581C" w:rsidRPr="00F9581C" w:rsidRDefault="00F9581C" w:rsidP="00F9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0,0</w:t>
            </w:r>
          </w:p>
        </w:tc>
      </w:tr>
      <w:tr w:rsidR="00F9581C" w:rsidRPr="00F9581C" w14:paraId="3F24D6D6" w14:textId="77777777" w:rsidTr="00F9581C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2E1C2" w14:textId="77777777" w:rsidR="00F9581C" w:rsidRPr="00F9581C" w:rsidRDefault="00F9581C" w:rsidP="00F9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BA8A5" w14:textId="77777777" w:rsidR="00F9581C" w:rsidRPr="00F9581C" w:rsidRDefault="00F9581C" w:rsidP="00F95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ОБЩО ПО ПОЛИТИКАТА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17B42" w14:textId="77777777" w:rsidR="00F9581C" w:rsidRPr="00F9581C" w:rsidRDefault="00F9581C" w:rsidP="00F9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17 685,0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29175" w14:textId="77777777" w:rsidR="00F9581C" w:rsidRPr="00F9581C" w:rsidRDefault="00F9581C" w:rsidP="00F9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19 335,9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3005B" w14:textId="77777777" w:rsidR="00F9581C" w:rsidRPr="00F9581C" w:rsidRDefault="00F9581C" w:rsidP="00F9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17 649,7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18E81" w14:textId="77777777" w:rsidR="00F9581C" w:rsidRPr="00F9581C" w:rsidRDefault="00F9581C" w:rsidP="00F9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9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17 395,9</w:t>
            </w:r>
          </w:p>
        </w:tc>
      </w:tr>
    </w:tbl>
    <w:p w14:paraId="419A9F4F" w14:textId="0D08FFF4" w:rsidR="009C7A39" w:rsidRPr="00D31065" w:rsidRDefault="009C7A39" w:rsidP="00A7741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green"/>
          <w:lang w:val="en-US"/>
        </w:rPr>
      </w:pPr>
    </w:p>
    <w:p w14:paraId="08ECEC75" w14:textId="77777777" w:rsidR="00BC2767" w:rsidRPr="00E124D3" w:rsidRDefault="00BC2767" w:rsidP="00BC2767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24D3">
        <w:rPr>
          <w:rFonts w:ascii="Times New Roman" w:hAnsi="Times New Roman" w:cs="Times New Roman"/>
          <w:b/>
          <w:i/>
          <w:sz w:val="24"/>
          <w:szCs w:val="24"/>
        </w:rPr>
        <w:t xml:space="preserve">Ключови индикатори и целеви стойности </w:t>
      </w: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9"/>
        <w:gridCol w:w="850"/>
        <w:gridCol w:w="993"/>
        <w:gridCol w:w="992"/>
        <w:gridCol w:w="992"/>
      </w:tblGrid>
      <w:tr w:rsidR="00BC2767" w:rsidRPr="00345526" w14:paraId="74984E2D" w14:textId="77777777" w:rsidTr="0043230F">
        <w:trPr>
          <w:trHeight w:val="561"/>
        </w:trPr>
        <w:tc>
          <w:tcPr>
            <w:tcW w:w="9796" w:type="dxa"/>
            <w:gridSpan w:val="5"/>
            <w:shd w:val="clear" w:color="auto" w:fill="FFCC99"/>
            <w:vAlign w:val="center"/>
          </w:tcPr>
          <w:p w14:paraId="04380805" w14:textId="77777777" w:rsidR="00BC2767" w:rsidRPr="00D614F9" w:rsidRDefault="00BC2767" w:rsidP="0043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D614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КЛЮЧОВИ ИНДИКАТОРИ ЗА ИЗПЪЛНЕНИЕ И ЦЕЛЕВИ СТОЙНОСТИ</w:t>
            </w:r>
          </w:p>
        </w:tc>
      </w:tr>
      <w:tr w:rsidR="00BC2767" w:rsidRPr="00345526" w14:paraId="2622A874" w14:textId="77777777" w:rsidTr="0043230F">
        <w:trPr>
          <w:trHeight w:val="263"/>
        </w:trPr>
        <w:tc>
          <w:tcPr>
            <w:tcW w:w="5969" w:type="dxa"/>
            <w:shd w:val="clear" w:color="auto" w:fill="FFCC99"/>
            <w:vAlign w:val="center"/>
          </w:tcPr>
          <w:p w14:paraId="04E1945A" w14:textId="77777777" w:rsidR="00BC2767" w:rsidRDefault="00BC2767" w:rsidP="0043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bg-BG"/>
              </w:rPr>
              <w:t xml:space="preserve">Политика </w:t>
            </w:r>
            <w:r w:rsidRPr="00BC2767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bg-BG"/>
              </w:rPr>
              <w:t>в областта на други бюджетни програми</w:t>
            </w:r>
          </w:p>
          <w:p w14:paraId="11FC148E" w14:textId="5B9C4172" w:rsidR="00BC2767" w:rsidRPr="00D614F9" w:rsidRDefault="00BC2767" w:rsidP="0043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bg-BG"/>
              </w:rPr>
              <w:t>(</w:t>
            </w:r>
            <w:r w:rsidRPr="00BC2767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bg-BG"/>
              </w:rPr>
              <w:t>Бюджетна програма 1900.03.01 „Дейности по метеорология, хидрология и агрометеорология“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bg-BG"/>
              </w:rPr>
              <w:t>)</w:t>
            </w:r>
          </w:p>
        </w:tc>
        <w:tc>
          <w:tcPr>
            <w:tcW w:w="3827" w:type="dxa"/>
            <w:gridSpan w:val="4"/>
            <w:shd w:val="clear" w:color="auto" w:fill="FFCC99"/>
            <w:vAlign w:val="center"/>
          </w:tcPr>
          <w:p w14:paraId="0EAD36F9" w14:textId="77777777" w:rsidR="00BC2767" w:rsidRPr="00345526" w:rsidRDefault="00BC2767" w:rsidP="0043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55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Целева стойност</w:t>
            </w:r>
          </w:p>
        </w:tc>
      </w:tr>
      <w:tr w:rsidR="00BC2767" w:rsidRPr="00345526" w14:paraId="720515C3" w14:textId="77777777" w:rsidTr="0043230F">
        <w:trPr>
          <w:trHeight w:val="465"/>
        </w:trPr>
        <w:tc>
          <w:tcPr>
            <w:tcW w:w="5969" w:type="dxa"/>
            <w:shd w:val="clear" w:color="auto" w:fill="FFCC99"/>
            <w:vAlign w:val="center"/>
          </w:tcPr>
          <w:p w14:paraId="1AA5343F" w14:textId="77777777" w:rsidR="00BC2767" w:rsidRPr="00345526" w:rsidRDefault="00BC2767" w:rsidP="0043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D614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Наименование на индикатора</w:t>
            </w:r>
          </w:p>
        </w:tc>
        <w:tc>
          <w:tcPr>
            <w:tcW w:w="850" w:type="dxa"/>
            <w:shd w:val="clear" w:color="auto" w:fill="FFCC99"/>
            <w:vAlign w:val="center"/>
          </w:tcPr>
          <w:p w14:paraId="4ED22103" w14:textId="77777777" w:rsidR="00BC2767" w:rsidRPr="00345526" w:rsidRDefault="00BC2767" w:rsidP="0043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3455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Мерна единица</w:t>
            </w:r>
          </w:p>
        </w:tc>
        <w:tc>
          <w:tcPr>
            <w:tcW w:w="993" w:type="dxa"/>
            <w:shd w:val="clear" w:color="auto" w:fill="FFCC99"/>
            <w:vAlign w:val="center"/>
          </w:tcPr>
          <w:p w14:paraId="6E495EE8" w14:textId="77777777" w:rsidR="00BC2767" w:rsidRPr="004F6515" w:rsidRDefault="00BC2767" w:rsidP="0043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Проект</w:t>
            </w:r>
            <w:r w:rsidRPr="004F651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2026 г.</w:t>
            </w:r>
          </w:p>
        </w:tc>
        <w:tc>
          <w:tcPr>
            <w:tcW w:w="992" w:type="dxa"/>
            <w:shd w:val="clear" w:color="auto" w:fill="FFCC99"/>
            <w:vAlign w:val="center"/>
          </w:tcPr>
          <w:p w14:paraId="0FCADCED" w14:textId="77777777" w:rsidR="00BC2767" w:rsidRPr="004F6515" w:rsidRDefault="00BC2767" w:rsidP="0043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bg-BG"/>
              </w:rPr>
            </w:pPr>
            <w:r w:rsidRPr="002A13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bg-BG"/>
              </w:rPr>
              <w:t>Прогноза 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bg-BG"/>
              </w:rPr>
              <w:t>7</w:t>
            </w:r>
            <w:r w:rsidRPr="002A13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bg-BG"/>
              </w:rPr>
              <w:t xml:space="preserve"> г.</w:t>
            </w:r>
          </w:p>
        </w:tc>
        <w:tc>
          <w:tcPr>
            <w:tcW w:w="992" w:type="dxa"/>
            <w:shd w:val="clear" w:color="auto" w:fill="FFCC99"/>
            <w:vAlign w:val="center"/>
          </w:tcPr>
          <w:p w14:paraId="748A2046" w14:textId="77777777" w:rsidR="00BC2767" w:rsidRPr="002A1312" w:rsidRDefault="00BC2767" w:rsidP="0043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bg-BG"/>
              </w:rPr>
            </w:pPr>
            <w:r w:rsidRPr="002A13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bg-BG"/>
              </w:rPr>
              <w:t>Прогноза 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bg-BG"/>
              </w:rPr>
              <w:t>8</w:t>
            </w:r>
            <w:r w:rsidRPr="002A13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bg-BG"/>
              </w:rPr>
              <w:t xml:space="preserve"> г.</w:t>
            </w:r>
          </w:p>
        </w:tc>
      </w:tr>
      <w:tr w:rsidR="00BC2767" w:rsidRPr="00345526" w14:paraId="0F7B1A08" w14:textId="77777777" w:rsidTr="00085B75">
        <w:trPr>
          <w:trHeight w:val="263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0CF41" w14:textId="7DA14B8B" w:rsidR="00BC2767" w:rsidRPr="000C26CD" w:rsidRDefault="00BC2767" w:rsidP="00BC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34B4B">
              <w:rPr>
                <w:rStyle w:val="Bodytext8ptBold"/>
                <w:rFonts w:eastAsiaTheme="minorHAnsi"/>
                <w:b w:val="0"/>
              </w:rPr>
              <w:t>1</w:t>
            </w:r>
            <w:r w:rsidRPr="00634B4B">
              <w:rPr>
                <w:rStyle w:val="Bodytext8pt"/>
                <w:rFonts w:eastAsiaTheme="minorHAnsi"/>
                <w:b/>
              </w:rPr>
              <w:t>.</w:t>
            </w:r>
            <w:r>
              <w:rPr>
                <w:rStyle w:val="Bodytext8pt"/>
                <w:rFonts w:eastAsiaTheme="minorHAnsi"/>
              </w:rPr>
              <w:t xml:space="preserve"> Защитили докторанти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BBC5E" w14:textId="55F1EDD5" w:rsidR="00BC2767" w:rsidRPr="00345526" w:rsidRDefault="00BC2767" w:rsidP="00BC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Style w:val="Bodytext8pt"/>
                <w:rFonts w:eastAsiaTheme="minorHAnsi"/>
              </w:rPr>
              <w:t>брой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362E21" w14:textId="3D3DF7C5" w:rsidR="00BC2767" w:rsidRPr="004F6515" w:rsidRDefault="00BC2767" w:rsidP="00BC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Style w:val="Bodytext8pt"/>
                <w:rFonts w:eastAsiaTheme="minorHAnsi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46282" w14:textId="0D570FEB" w:rsidR="00BC2767" w:rsidRPr="004F6515" w:rsidRDefault="00BC2767" w:rsidP="00BC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Style w:val="Bodytext8pt"/>
                <w:rFonts w:eastAsiaTheme="minorHAnsi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3E9BF" w14:textId="600A6B8F" w:rsidR="00BC2767" w:rsidRPr="004F6515" w:rsidRDefault="00BC2767" w:rsidP="00BC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12">
              <w:rPr>
                <w:rStyle w:val="Bodytext8pt"/>
                <w:rFonts w:eastAsiaTheme="minorHAnsi"/>
              </w:rPr>
              <w:t>3</w:t>
            </w:r>
          </w:p>
        </w:tc>
      </w:tr>
      <w:tr w:rsidR="00BC2767" w:rsidRPr="00345526" w14:paraId="0D5BC66D" w14:textId="77777777" w:rsidTr="00085B75">
        <w:trPr>
          <w:trHeight w:val="263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26FFD" w14:textId="2FDC0683" w:rsidR="00BC2767" w:rsidRPr="000C26CD" w:rsidRDefault="00BC2767" w:rsidP="00BC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</w:pPr>
            <w:r>
              <w:rPr>
                <w:rStyle w:val="Bodytext8pt"/>
                <w:rFonts w:eastAsiaTheme="minorHAnsi"/>
              </w:rPr>
              <w:t>2. Новоназначени специалисти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AEF088" w14:textId="0ACD27D7" w:rsidR="00BC2767" w:rsidRPr="00345526" w:rsidRDefault="00BC2767" w:rsidP="00BC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E15FA">
              <w:rPr>
                <w:rStyle w:val="Bodytext8pt"/>
                <w:rFonts w:eastAsiaTheme="minorHAnsi"/>
              </w:rPr>
              <w:t>брой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4E9761" w14:textId="7B7E233E" w:rsidR="00BC2767" w:rsidRPr="004F6515" w:rsidRDefault="00BC2767" w:rsidP="00BC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</w:pPr>
            <w:r>
              <w:rPr>
                <w:rStyle w:val="Bodytext8pt"/>
                <w:rFonts w:eastAsiaTheme="minorHAnsi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1240ED" w14:textId="311AEDF2" w:rsidR="00BC2767" w:rsidRPr="004F6515" w:rsidRDefault="00BC2767" w:rsidP="00BC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</w:pPr>
            <w:r>
              <w:rPr>
                <w:rStyle w:val="Bodytext8pt"/>
                <w:rFonts w:eastAsiaTheme="minorHAnsi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19207" w14:textId="71273075" w:rsidR="00BC2767" w:rsidRPr="004F6515" w:rsidRDefault="00BC2767" w:rsidP="00BC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12">
              <w:rPr>
                <w:rStyle w:val="Bodytext8pt"/>
                <w:rFonts w:eastAsiaTheme="minorHAnsi"/>
              </w:rPr>
              <w:t>15</w:t>
            </w:r>
          </w:p>
        </w:tc>
      </w:tr>
      <w:tr w:rsidR="00BC2767" w:rsidRPr="00345526" w14:paraId="6AA5AB43" w14:textId="77777777" w:rsidTr="00085B75">
        <w:trPr>
          <w:trHeight w:val="263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7F9B3" w14:textId="26F2A28A" w:rsidR="00BC2767" w:rsidRPr="000C26CD" w:rsidRDefault="00BC2767" w:rsidP="00BC2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bg-BG"/>
              </w:rPr>
            </w:pPr>
            <w:r>
              <w:rPr>
                <w:rStyle w:val="Bodytext8pt"/>
                <w:rFonts w:eastAsiaTheme="minorHAnsi"/>
              </w:rPr>
              <w:t>3. Успешно завършили конкурси по ЗРАСРБ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93010C" w14:textId="077AE6A7" w:rsidR="00BC2767" w:rsidRPr="00345526" w:rsidRDefault="00BC2767" w:rsidP="00BC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E15FA">
              <w:rPr>
                <w:rStyle w:val="Bodytext8pt"/>
                <w:rFonts w:eastAsiaTheme="minorHAnsi"/>
              </w:rPr>
              <w:t>брой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9C0BF6" w14:textId="10EF48BF" w:rsidR="00BC2767" w:rsidRPr="004F6515" w:rsidRDefault="00BC2767" w:rsidP="00BC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</w:pPr>
            <w:r>
              <w:rPr>
                <w:rStyle w:val="Bodytext8pt"/>
                <w:rFonts w:eastAsiaTheme="minorHAnsi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3DE11" w14:textId="46C68414" w:rsidR="00BC2767" w:rsidRPr="004F6515" w:rsidRDefault="00BC2767" w:rsidP="00BC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Style w:val="Bodytext8pt"/>
                <w:rFonts w:eastAsiaTheme="minorHAnsi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B1C34" w14:textId="48C5D20D" w:rsidR="00BC2767" w:rsidRDefault="00BC2767" w:rsidP="00BC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12">
              <w:rPr>
                <w:rStyle w:val="Bodytext8pt"/>
                <w:rFonts w:eastAsiaTheme="minorHAnsi"/>
              </w:rPr>
              <w:t>2</w:t>
            </w:r>
          </w:p>
        </w:tc>
      </w:tr>
      <w:tr w:rsidR="00BC2767" w:rsidRPr="00345526" w14:paraId="51CEC75F" w14:textId="77777777" w:rsidTr="00085B75">
        <w:trPr>
          <w:trHeight w:val="27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A82844" w14:textId="45523E88" w:rsidR="00BC2767" w:rsidRPr="000C26CD" w:rsidRDefault="00BC2767" w:rsidP="00BC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Style w:val="Bodytext8pt"/>
                <w:rFonts w:eastAsiaTheme="minorHAnsi"/>
              </w:rPr>
              <w:t>4. Съвместни проекти с университети и научни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DAD5D" w14:textId="68180DF1" w:rsidR="00BC2767" w:rsidRPr="00345526" w:rsidRDefault="00BC2767" w:rsidP="00BC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E15FA">
              <w:rPr>
                <w:rStyle w:val="Bodytext8pt"/>
                <w:rFonts w:eastAsiaTheme="minorHAnsi"/>
              </w:rPr>
              <w:t>брой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90C1F1" w14:textId="7DDBD2DA" w:rsidR="00BC2767" w:rsidRPr="004F6515" w:rsidRDefault="00BC2767" w:rsidP="00BC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Style w:val="Bodytext8pt"/>
                <w:rFonts w:eastAsiaTheme="minorHAnsi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6D2FD0" w14:textId="75350282" w:rsidR="00BC2767" w:rsidRPr="004F6515" w:rsidRDefault="00BC2767" w:rsidP="00BC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Style w:val="Bodytext8pt"/>
                <w:rFonts w:eastAsiaTheme="minorHAnsi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022AB" w14:textId="0DAE253F" w:rsidR="00BC2767" w:rsidRPr="004F6515" w:rsidRDefault="00BC2767" w:rsidP="00BC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12">
              <w:rPr>
                <w:rStyle w:val="Bodytext8pt"/>
                <w:rFonts w:eastAsiaTheme="minorHAnsi"/>
              </w:rPr>
              <w:t>4</w:t>
            </w:r>
          </w:p>
        </w:tc>
      </w:tr>
      <w:tr w:rsidR="00BC2767" w:rsidRPr="00345526" w14:paraId="166D8153" w14:textId="77777777" w:rsidTr="00085B75">
        <w:trPr>
          <w:trHeight w:val="27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C36BC5" w14:textId="7F35BC4C" w:rsidR="00BC2767" w:rsidRPr="000C26CD" w:rsidRDefault="00BC2767" w:rsidP="00BC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Style w:val="Bodytext8pt"/>
                <w:rFonts w:eastAsiaTheme="minorHAnsi"/>
              </w:rPr>
              <w:t>5. Мониторингова мрежа от метеорологични, хидрологични и агрометеорологични станции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A1964" w14:textId="6CD7AAA4" w:rsidR="00BC2767" w:rsidRPr="00345526" w:rsidRDefault="00BC2767" w:rsidP="00BC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E15FA">
              <w:rPr>
                <w:rStyle w:val="Bodytext8pt"/>
                <w:rFonts w:eastAsiaTheme="minorHAnsi"/>
              </w:rPr>
              <w:t>брой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7CED58" w14:textId="28BA3DBB" w:rsidR="00BC2767" w:rsidRPr="004F6515" w:rsidRDefault="00BC2767" w:rsidP="00BC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Style w:val="Bodytext8pt"/>
                <w:rFonts w:eastAsiaTheme="minorHAnsi"/>
              </w:rPr>
              <w:t>1064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9FE8B" w14:textId="0BDEF4FF" w:rsidR="00BC2767" w:rsidRPr="004F6515" w:rsidRDefault="00BC2767" w:rsidP="00BC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Style w:val="Bodytext8pt"/>
                <w:rFonts w:eastAsiaTheme="minorHAnsi"/>
              </w:rPr>
              <w:t>1064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6EF78" w14:textId="036987BF" w:rsidR="00BC2767" w:rsidRPr="004F6515" w:rsidRDefault="00BC2767" w:rsidP="00BC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12">
              <w:rPr>
                <w:rStyle w:val="Bodytext8pt"/>
                <w:rFonts w:eastAsiaTheme="minorHAnsi"/>
              </w:rPr>
              <w:t>1064</w:t>
            </w:r>
          </w:p>
        </w:tc>
      </w:tr>
      <w:tr w:rsidR="00BC2767" w:rsidRPr="00345526" w14:paraId="788EEBB5" w14:textId="77777777" w:rsidTr="00085B75">
        <w:trPr>
          <w:trHeight w:val="27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DA3663" w14:textId="3F39B68C" w:rsidR="00BC2767" w:rsidRDefault="00BC2767" w:rsidP="00BC2767">
            <w:pPr>
              <w:spacing w:after="0" w:line="240" w:lineRule="auto"/>
              <w:rPr>
                <w:rStyle w:val="Bodytext8pt"/>
                <w:rFonts w:eastAsiaTheme="minorHAnsi"/>
              </w:rPr>
            </w:pPr>
            <w:r>
              <w:rPr>
                <w:rStyle w:val="Bodytext8pt"/>
                <w:rFonts w:eastAsiaTheme="minorHAnsi"/>
              </w:rPr>
              <w:t>6. Предупреждения за опасни хидрометеорологични процеси (броят е средностатистически, зависи от атмосферните процеси)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56110" w14:textId="02896B34" w:rsidR="00BC2767" w:rsidRPr="00345526" w:rsidRDefault="00BC2767" w:rsidP="00BC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E15FA">
              <w:rPr>
                <w:rStyle w:val="Bodytext8pt"/>
                <w:rFonts w:eastAsiaTheme="minorHAnsi"/>
              </w:rPr>
              <w:t>брой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496846" w14:textId="6CE261EF" w:rsidR="00BC2767" w:rsidRPr="004F6515" w:rsidRDefault="00BC2767" w:rsidP="00BC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Style w:val="Bodytext8pt"/>
                <w:rFonts w:eastAsiaTheme="minorHAnsi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20785" w14:textId="43D408EF" w:rsidR="00BC2767" w:rsidRPr="004F6515" w:rsidRDefault="00BC2767" w:rsidP="00BC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Style w:val="Bodytext8pt"/>
                <w:rFonts w:eastAsiaTheme="minorHAnsi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734BC" w14:textId="38679403" w:rsidR="00BC2767" w:rsidRPr="004F6515" w:rsidRDefault="00BC2767" w:rsidP="00BC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12">
              <w:rPr>
                <w:rStyle w:val="Bodytext8pt"/>
                <w:rFonts w:eastAsiaTheme="minorHAnsi"/>
              </w:rPr>
              <w:t>120</w:t>
            </w:r>
          </w:p>
        </w:tc>
      </w:tr>
      <w:tr w:rsidR="00BC2767" w:rsidRPr="00345526" w14:paraId="1DA59ACA" w14:textId="77777777" w:rsidTr="00085B75">
        <w:trPr>
          <w:trHeight w:val="27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14C40F" w14:textId="241CF420" w:rsidR="00BC2767" w:rsidRDefault="00BC2767" w:rsidP="00BC2767">
            <w:pPr>
              <w:spacing w:after="0" w:line="240" w:lineRule="auto"/>
              <w:rPr>
                <w:rStyle w:val="Bodytext8pt"/>
                <w:rFonts w:eastAsiaTheme="minorHAnsi"/>
              </w:rPr>
            </w:pPr>
            <w:r>
              <w:rPr>
                <w:rStyle w:val="Bodytext8pt"/>
                <w:rFonts w:eastAsiaTheme="minorHAnsi"/>
              </w:rPr>
              <w:t>7. Метеорологични, хидрологични, агрометеорологични и специализирани морски прогнози и експертизи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B241F9" w14:textId="78A61319" w:rsidR="00BC2767" w:rsidRPr="00345526" w:rsidRDefault="00BC2767" w:rsidP="00BC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E15FA">
              <w:rPr>
                <w:rStyle w:val="Bodytext8pt"/>
                <w:rFonts w:eastAsiaTheme="minorHAnsi"/>
              </w:rPr>
              <w:t>брой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99D516" w14:textId="1637A863" w:rsidR="00BC2767" w:rsidRPr="004F6515" w:rsidRDefault="00BC2767" w:rsidP="00BC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Style w:val="Bodytext8pt"/>
                <w:rFonts w:eastAsiaTheme="minorHAnsi"/>
              </w:rPr>
              <w:t>11 000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906890" w14:textId="70438CA4" w:rsidR="00BC2767" w:rsidRPr="004F6515" w:rsidRDefault="00BC2767" w:rsidP="00BC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Style w:val="Bodytext8pt"/>
                <w:rFonts w:eastAsiaTheme="minorHAnsi"/>
              </w:rPr>
              <w:t>11 000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81F4D" w14:textId="6A7775FF" w:rsidR="00BC2767" w:rsidRPr="004F6515" w:rsidRDefault="00BC2767" w:rsidP="00BC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D12">
              <w:rPr>
                <w:rStyle w:val="Bodytext8pt"/>
                <w:rFonts w:eastAsiaTheme="minorHAnsi"/>
              </w:rPr>
              <w:t>11 000</w:t>
            </w:r>
          </w:p>
        </w:tc>
      </w:tr>
    </w:tbl>
    <w:p w14:paraId="386B56C7" w14:textId="77777777" w:rsidR="00BC2767" w:rsidRPr="00D31065" w:rsidRDefault="00BC2767" w:rsidP="004157F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green"/>
        </w:rPr>
      </w:pPr>
    </w:p>
    <w:p w14:paraId="2630BFE9" w14:textId="77777777" w:rsidR="00FB2C29" w:rsidRPr="00D31065" w:rsidRDefault="00FB2C29" w:rsidP="004157F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1065">
        <w:rPr>
          <w:rFonts w:ascii="Times New Roman" w:hAnsi="Times New Roman" w:cs="Times New Roman"/>
          <w:b/>
          <w:i/>
          <w:sz w:val="24"/>
          <w:szCs w:val="24"/>
        </w:rPr>
        <w:t>Бюджетна програма „Администрация“:</w:t>
      </w:r>
    </w:p>
    <w:p w14:paraId="5DCC80D6" w14:textId="35BDB51D" w:rsidR="00203B29" w:rsidRPr="00D31065" w:rsidRDefault="00F83CE9" w:rsidP="00621FFE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0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програмата са включени </w:t>
      </w:r>
      <w:r w:rsidR="00A630BD" w:rsidRPr="00D310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дейностите, които съдействат за работата на специализираната администрация, и дейностите по административното обслужване на гражданите и юридическите лица. Всички тези дейности подпомагат изпълнението на програмите по </w:t>
      </w:r>
      <w:r w:rsidRPr="00D3106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провежданите от МОСВ политики</w:t>
      </w:r>
      <w:r w:rsidR="00A630BD" w:rsidRPr="00D3106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9D9E70C" w14:textId="2D956DB7" w:rsidR="00F73C8F" w:rsidRDefault="00F73C8F" w:rsidP="00621FFE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bg-BG"/>
        </w:rPr>
      </w:pPr>
    </w:p>
    <w:p w14:paraId="589ED1D5" w14:textId="5FE4B5BD" w:rsidR="008C7B9B" w:rsidRDefault="008C7B9B" w:rsidP="00621FFE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bg-BG"/>
        </w:rPr>
      </w:pPr>
    </w:p>
    <w:tbl>
      <w:tblPr>
        <w:tblW w:w="102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900"/>
        <w:gridCol w:w="1200"/>
        <w:gridCol w:w="1200"/>
        <w:gridCol w:w="1240"/>
        <w:gridCol w:w="1180"/>
      </w:tblGrid>
      <w:tr w:rsidR="008C7B9B" w:rsidRPr="008C7B9B" w14:paraId="1DC50A17" w14:textId="77777777" w:rsidTr="008C7B9B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34A83F4B" w14:textId="77777777" w:rsidR="008C7B9B" w:rsidRPr="008C7B9B" w:rsidRDefault="008C7B9B" w:rsidP="008C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3590E0AF" w14:textId="77777777" w:rsidR="008C7B9B" w:rsidRPr="008C7B9B" w:rsidRDefault="008C7B9B" w:rsidP="008C7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12087B82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Закон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6A76ED36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Проект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6F77194A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Прогноза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47122292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Прогноза</w:t>
            </w:r>
          </w:p>
        </w:tc>
      </w:tr>
      <w:tr w:rsidR="008C7B9B" w:rsidRPr="008C7B9B" w14:paraId="5D3B0DEF" w14:textId="77777777" w:rsidTr="008C7B9B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2B20E009" w14:textId="77777777" w:rsidR="008C7B9B" w:rsidRPr="008C7B9B" w:rsidRDefault="008C7B9B" w:rsidP="008C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273F7E48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1900.04.00 - Бюджетна програма „Администрация“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49DC4ECC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23C7BC42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2026 г.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408DE2C7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2027 г.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1E41CBFB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2028 г.</w:t>
            </w:r>
          </w:p>
        </w:tc>
      </w:tr>
      <w:tr w:rsidR="008C7B9B" w:rsidRPr="008C7B9B" w14:paraId="60B51409" w14:textId="77777777" w:rsidTr="008C7B9B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27B0B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71A15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05D3D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5BD30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78D9E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09C33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5</w:t>
            </w:r>
          </w:p>
        </w:tc>
      </w:tr>
      <w:tr w:rsidR="008C7B9B" w:rsidRPr="008C7B9B" w14:paraId="60429A4F" w14:textId="77777777" w:rsidTr="008C7B9B">
        <w:trPr>
          <w:trHeight w:val="9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E905D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50A44" w14:textId="77777777" w:rsidR="008C7B9B" w:rsidRPr="008C7B9B" w:rsidRDefault="008C7B9B" w:rsidP="008C7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Консолидирани разходи в област на политиката по опазването и ползването на компонентите на околната среда, които МОСВ разходва пряко чрез бюджета и отговаря за разпределението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79B4F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16 572,0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DFFEA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22 085,8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F8228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20 202,6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123AD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21 103,8</w:t>
            </w:r>
          </w:p>
        </w:tc>
      </w:tr>
      <w:tr w:rsidR="008C7B9B" w:rsidRPr="008C7B9B" w14:paraId="30BF809F" w14:textId="77777777" w:rsidTr="008C7B9B">
        <w:trPr>
          <w:trHeight w:val="97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6A934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62E4B" w14:textId="77777777" w:rsidR="008C7B9B" w:rsidRPr="008C7B9B" w:rsidRDefault="008C7B9B" w:rsidP="008C7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Консолидирани разходи в област на политиката по опазването и ползването на компонентите на околната среда, финансирани по други бюджети и сметки за средства от ЕС, в т.ч.: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ADD91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2 770,3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2FA36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10 359,4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5D13E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10 669,1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91961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10 741,0</w:t>
            </w:r>
          </w:p>
        </w:tc>
      </w:tr>
      <w:tr w:rsidR="008C7B9B" w:rsidRPr="008C7B9B" w14:paraId="1AAE3448" w14:textId="77777777" w:rsidTr="008C7B9B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61A32" w14:textId="77777777" w:rsidR="008C7B9B" w:rsidRPr="008C7B9B" w:rsidRDefault="008C7B9B" w:rsidP="008C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7C01E" w14:textId="77777777" w:rsidR="008C7B9B" w:rsidRPr="008C7B9B" w:rsidRDefault="008C7B9B" w:rsidP="008C7B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bg-BG"/>
              </w:rPr>
              <w:t>Централен бюджет - капиталови разходи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1EB1B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0,0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54B17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0,0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E9ADC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0,0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793CF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0,0</w:t>
            </w:r>
          </w:p>
        </w:tc>
      </w:tr>
      <w:tr w:rsidR="008C7B9B" w:rsidRPr="008C7B9B" w14:paraId="7355EB73" w14:textId="77777777" w:rsidTr="008C7B9B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87DF5" w14:textId="77777777" w:rsidR="008C7B9B" w:rsidRPr="008C7B9B" w:rsidRDefault="008C7B9B" w:rsidP="008C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A4E4A3" w14:textId="77777777" w:rsidR="008C7B9B" w:rsidRPr="008C7B9B" w:rsidRDefault="008C7B9B" w:rsidP="008C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Предприятие за управление на дейностите по опазване на околната среда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429BE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2 770,3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2206A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3 565,7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23370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3 585,1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C1A9E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3 604,5</w:t>
            </w:r>
          </w:p>
        </w:tc>
      </w:tr>
      <w:tr w:rsidR="008C7B9B" w:rsidRPr="008C7B9B" w14:paraId="58EFAE5F" w14:textId="77777777" w:rsidTr="008C7B9B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682A1" w14:textId="77777777" w:rsidR="008C7B9B" w:rsidRPr="008C7B9B" w:rsidRDefault="008C7B9B" w:rsidP="008C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3E2B09" w14:textId="77777777" w:rsidR="008C7B9B" w:rsidRPr="008C7B9B" w:rsidRDefault="008C7B9B" w:rsidP="008C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ОП "Околна среда 2021-2027 г."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5DC3A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0,0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E5C62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6 793,7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B0819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7 084,0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28184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7 136,5</w:t>
            </w:r>
          </w:p>
        </w:tc>
      </w:tr>
      <w:tr w:rsidR="008C7B9B" w:rsidRPr="008C7B9B" w14:paraId="29835647" w14:textId="77777777" w:rsidTr="008C7B9B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15171" w14:textId="77777777" w:rsidR="008C7B9B" w:rsidRPr="008C7B9B" w:rsidRDefault="008C7B9B" w:rsidP="008C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9E6193" w14:textId="77777777" w:rsidR="008C7B9B" w:rsidRPr="008C7B9B" w:rsidRDefault="008C7B9B" w:rsidP="008C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Държавен инвестиционен заем - лихви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21241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0,0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316E3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0,0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1E30C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0,0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0225E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0,0</w:t>
            </w:r>
          </w:p>
        </w:tc>
      </w:tr>
      <w:tr w:rsidR="008C7B9B" w:rsidRPr="008C7B9B" w14:paraId="5A29D9B4" w14:textId="77777777" w:rsidTr="008C7B9B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1AB73" w14:textId="77777777" w:rsidR="008C7B9B" w:rsidRPr="008C7B9B" w:rsidRDefault="008C7B9B" w:rsidP="008C7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B2376" w14:textId="77777777" w:rsidR="008C7B9B" w:rsidRPr="008C7B9B" w:rsidRDefault="008C7B9B" w:rsidP="008C7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ОБЩО ПО ПОЛИТИКАТА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C20B0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19 342,3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EC9F8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32 445,2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6F441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30 871,7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52E31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31 844,8</w:t>
            </w:r>
          </w:p>
        </w:tc>
      </w:tr>
    </w:tbl>
    <w:p w14:paraId="6A5C1C7C" w14:textId="16B5EECD" w:rsidR="001D56C9" w:rsidRPr="00D31065" w:rsidRDefault="001D56C9" w:rsidP="00223AC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highlight w:val="green"/>
          <w:lang w:val="en-US" w:eastAsia="bg-BG"/>
        </w:rPr>
      </w:pPr>
    </w:p>
    <w:p w14:paraId="7329AE4D" w14:textId="5C96F86D" w:rsidR="001D56C9" w:rsidRPr="008C7B9B" w:rsidRDefault="001D56C9" w:rsidP="001D56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bg-BG"/>
        </w:rPr>
      </w:pPr>
      <w:r w:rsidRPr="008C7B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bg-BG"/>
        </w:rPr>
        <w:t>Консолидирани разходи по бюджета</w:t>
      </w:r>
    </w:p>
    <w:p w14:paraId="26C55227" w14:textId="3D5D3988" w:rsidR="008C7B9B" w:rsidRDefault="008C7B9B" w:rsidP="001D56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green"/>
          <w:lang w:eastAsia="bg-BG"/>
        </w:rPr>
      </w:pPr>
    </w:p>
    <w:p w14:paraId="3C74F950" w14:textId="77777777" w:rsidR="008C7B9B" w:rsidRDefault="008C7B9B" w:rsidP="001D56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green"/>
          <w:lang w:eastAsia="bg-BG"/>
        </w:rPr>
      </w:pPr>
    </w:p>
    <w:tbl>
      <w:tblPr>
        <w:tblW w:w="102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900"/>
        <w:gridCol w:w="1200"/>
        <w:gridCol w:w="1200"/>
        <w:gridCol w:w="1240"/>
        <w:gridCol w:w="1180"/>
      </w:tblGrid>
      <w:tr w:rsidR="008C7B9B" w:rsidRPr="008C7B9B" w14:paraId="1E0F8F03" w14:textId="77777777" w:rsidTr="008C7B9B">
        <w:trPr>
          <w:trHeight w:val="30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450E6015" w14:textId="77777777" w:rsidR="008C7B9B" w:rsidRPr="008C7B9B" w:rsidRDefault="008C7B9B" w:rsidP="008C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5388CF95" w14:textId="77777777" w:rsidR="008C7B9B" w:rsidRPr="008C7B9B" w:rsidRDefault="008C7B9B" w:rsidP="008C7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42906BAF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Закон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397FE946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Проект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7B24EDF4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Прогноза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52C9AD70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Прогноза</w:t>
            </w:r>
          </w:p>
        </w:tc>
      </w:tr>
      <w:tr w:rsidR="008C7B9B" w:rsidRPr="008C7B9B" w14:paraId="3A34F0A8" w14:textId="77777777" w:rsidTr="008C7B9B">
        <w:trPr>
          <w:trHeight w:val="49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EE1A17" w14:textId="77777777" w:rsidR="008C7B9B" w:rsidRPr="008C7B9B" w:rsidRDefault="008C7B9B" w:rsidP="008C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2A6BC072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1900 МИНИСТЕРСТВО НА ОКОЛНАТА СРЕДА И ВОДИТЕ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02C291F6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7D6634D9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2026 г.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550668A9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2027 г.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71EA07AA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2028 г.</w:t>
            </w:r>
          </w:p>
        </w:tc>
      </w:tr>
      <w:tr w:rsidR="008C7B9B" w:rsidRPr="008C7B9B" w14:paraId="6B85C1A0" w14:textId="77777777" w:rsidTr="008C7B9B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012617" w14:textId="77777777" w:rsidR="008C7B9B" w:rsidRPr="008C7B9B" w:rsidRDefault="008C7B9B" w:rsidP="008C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731EF7A6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ОБЩО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060F9D76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2018589D" w14:textId="77777777" w:rsidR="008C7B9B" w:rsidRPr="008C7B9B" w:rsidRDefault="008C7B9B" w:rsidP="008C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610C40F8" w14:textId="77777777" w:rsidR="008C7B9B" w:rsidRPr="008C7B9B" w:rsidRDefault="008C7B9B" w:rsidP="008C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2E25644E" w14:textId="77777777" w:rsidR="008C7B9B" w:rsidRPr="008C7B9B" w:rsidRDefault="008C7B9B" w:rsidP="008C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8C7B9B" w:rsidRPr="008C7B9B" w14:paraId="590D314D" w14:textId="77777777" w:rsidTr="008C7B9B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2074C" w14:textId="77777777" w:rsidR="008C7B9B" w:rsidRPr="008C7B9B" w:rsidRDefault="008C7B9B" w:rsidP="008C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E9EF1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43D18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8AEBD" w14:textId="77777777" w:rsidR="008C7B9B" w:rsidRPr="008C7B9B" w:rsidRDefault="008C7B9B" w:rsidP="008C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46D83" w14:textId="77777777" w:rsidR="008C7B9B" w:rsidRPr="008C7B9B" w:rsidRDefault="008C7B9B" w:rsidP="008C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A272A" w14:textId="77777777" w:rsidR="008C7B9B" w:rsidRPr="008C7B9B" w:rsidRDefault="008C7B9B" w:rsidP="008C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8C7B9B" w:rsidRPr="008C7B9B" w14:paraId="4F17B6EE" w14:textId="77777777" w:rsidTr="008C7B9B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935E8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5E471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990C0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2FD73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20D9B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0AB48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5</w:t>
            </w:r>
          </w:p>
        </w:tc>
      </w:tr>
      <w:tr w:rsidR="008C7B9B" w:rsidRPr="008C7B9B" w14:paraId="4DB41CB4" w14:textId="77777777" w:rsidTr="008C7B9B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1B721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B51B2" w14:textId="77777777" w:rsidR="008C7B9B" w:rsidRPr="008C7B9B" w:rsidRDefault="008C7B9B" w:rsidP="008C7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Консолидирани разходи по бюджета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9D1F0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75 453,0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7A779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82 224,3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0AB24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77 332,1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26A48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76 927,7</w:t>
            </w:r>
          </w:p>
        </w:tc>
      </w:tr>
      <w:tr w:rsidR="008C7B9B" w:rsidRPr="008C7B9B" w14:paraId="4C5EF99A" w14:textId="77777777" w:rsidTr="008C7B9B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E0959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95AA6" w14:textId="77777777" w:rsidR="008C7B9B" w:rsidRPr="008C7B9B" w:rsidRDefault="008C7B9B" w:rsidP="008C7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Консолидирани разходи по други бюджети и сметки за средства от ЕС, в т.ч. от: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75870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41 352,9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89B1F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307 718,8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3FDAF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395 361,2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7DB24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393 898,6</w:t>
            </w:r>
          </w:p>
        </w:tc>
      </w:tr>
      <w:tr w:rsidR="008C7B9B" w:rsidRPr="008C7B9B" w14:paraId="6D9E1FDA" w14:textId="77777777" w:rsidTr="008C7B9B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A56CB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09F63" w14:textId="77777777" w:rsidR="008C7B9B" w:rsidRPr="008C7B9B" w:rsidRDefault="008C7B9B" w:rsidP="008C7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F5357" w14:textId="77777777" w:rsidR="008C7B9B" w:rsidRPr="008C7B9B" w:rsidRDefault="008C7B9B" w:rsidP="008C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CD0D2" w14:textId="77777777" w:rsidR="008C7B9B" w:rsidRPr="008C7B9B" w:rsidRDefault="008C7B9B" w:rsidP="008C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40C8B" w14:textId="77777777" w:rsidR="008C7B9B" w:rsidRPr="008C7B9B" w:rsidRDefault="008C7B9B" w:rsidP="008C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1E013" w14:textId="77777777" w:rsidR="008C7B9B" w:rsidRPr="008C7B9B" w:rsidRDefault="008C7B9B" w:rsidP="008C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8C7B9B" w:rsidRPr="008C7B9B" w14:paraId="04CDD185" w14:textId="77777777" w:rsidTr="008C7B9B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8DE10" w14:textId="77777777" w:rsidR="008C7B9B" w:rsidRPr="008C7B9B" w:rsidRDefault="008C7B9B" w:rsidP="008C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BECFF" w14:textId="77777777" w:rsidR="008C7B9B" w:rsidRPr="008C7B9B" w:rsidRDefault="008C7B9B" w:rsidP="008C7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М О С 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FBCAB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116 805,9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5B148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389 943,1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EE3BB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472 693,3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36F34" w14:textId="77777777" w:rsidR="008C7B9B" w:rsidRPr="008C7B9B" w:rsidRDefault="008C7B9B" w:rsidP="008C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C7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470 826,3</w:t>
            </w:r>
          </w:p>
        </w:tc>
      </w:tr>
    </w:tbl>
    <w:p w14:paraId="025C7A2E" w14:textId="30C7EDC9" w:rsidR="008C7B9B" w:rsidRDefault="008C7B9B" w:rsidP="001D56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green"/>
          <w:lang w:eastAsia="bg-BG"/>
        </w:rPr>
      </w:pPr>
    </w:p>
    <w:p w14:paraId="00F9FEE9" w14:textId="11B4CE52" w:rsidR="008C7B9B" w:rsidRDefault="008C7B9B" w:rsidP="001D56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green"/>
          <w:lang w:eastAsia="bg-BG"/>
        </w:rPr>
      </w:pPr>
    </w:p>
    <w:p w14:paraId="605BD091" w14:textId="77777777" w:rsidR="008C7B9B" w:rsidRPr="00D31065" w:rsidRDefault="008C7B9B" w:rsidP="001D56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green"/>
          <w:lang w:eastAsia="bg-BG"/>
        </w:rPr>
      </w:pPr>
    </w:p>
    <w:p w14:paraId="34237334" w14:textId="72E785DF" w:rsidR="00EA4C67" w:rsidRPr="00BF1545" w:rsidRDefault="00EA4C67" w:rsidP="000B6F97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bookmarkStart w:id="0" w:name="_GoBack"/>
      <w:bookmarkEnd w:id="0"/>
    </w:p>
    <w:sectPr w:rsidR="00EA4C67" w:rsidRPr="00BF1545" w:rsidSect="00E516E7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4AC6A" w14:textId="77777777" w:rsidR="005D5E94" w:rsidRDefault="005D5E94" w:rsidP="00050E55">
      <w:pPr>
        <w:spacing w:after="0" w:line="240" w:lineRule="auto"/>
      </w:pPr>
      <w:r>
        <w:separator/>
      </w:r>
    </w:p>
  </w:endnote>
  <w:endnote w:type="continuationSeparator" w:id="0">
    <w:p w14:paraId="50D34836" w14:textId="77777777" w:rsidR="005D5E94" w:rsidRDefault="005D5E94" w:rsidP="0005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6565F" w14:textId="77777777" w:rsidR="005D5E94" w:rsidRDefault="005D5E94" w:rsidP="00050E55">
      <w:pPr>
        <w:spacing w:after="0" w:line="240" w:lineRule="auto"/>
      </w:pPr>
      <w:r>
        <w:separator/>
      </w:r>
    </w:p>
  </w:footnote>
  <w:footnote w:type="continuationSeparator" w:id="0">
    <w:p w14:paraId="06FB7E57" w14:textId="77777777" w:rsidR="005D5E94" w:rsidRDefault="005D5E94" w:rsidP="00050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DB4"/>
    <w:multiLevelType w:val="hybridMultilevel"/>
    <w:tmpl w:val="92289BA4"/>
    <w:lvl w:ilvl="0" w:tplc="0402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" w15:restartNumberingAfterBreak="0">
    <w:nsid w:val="06D53880"/>
    <w:multiLevelType w:val="hybridMultilevel"/>
    <w:tmpl w:val="174E86F0"/>
    <w:lvl w:ilvl="0" w:tplc="515810D4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063D"/>
    <w:multiLevelType w:val="hybridMultilevel"/>
    <w:tmpl w:val="94B454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935B6"/>
    <w:multiLevelType w:val="hybridMultilevel"/>
    <w:tmpl w:val="B658C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8716E"/>
    <w:multiLevelType w:val="hybridMultilevel"/>
    <w:tmpl w:val="7EB43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7710E"/>
    <w:multiLevelType w:val="hybridMultilevel"/>
    <w:tmpl w:val="A16C20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247AF"/>
    <w:multiLevelType w:val="hybridMultilevel"/>
    <w:tmpl w:val="A7DE9B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D6D58"/>
    <w:multiLevelType w:val="hybridMultilevel"/>
    <w:tmpl w:val="2CE6D4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13B14"/>
    <w:multiLevelType w:val="hybridMultilevel"/>
    <w:tmpl w:val="5F3846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054DC"/>
    <w:multiLevelType w:val="hybridMultilevel"/>
    <w:tmpl w:val="99921F14"/>
    <w:lvl w:ilvl="0" w:tplc="E4A29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1087D"/>
    <w:multiLevelType w:val="hybridMultilevel"/>
    <w:tmpl w:val="F440F754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5AA7C7A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CB079A"/>
    <w:multiLevelType w:val="hybridMultilevel"/>
    <w:tmpl w:val="794E1D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36650"/>
    <w:multiLevelType w:val="multilevel"/>
    <w:tmpl w:val="8A92AA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7D339B"/>
    <w:multiLevelType w:val="hybridMultilevel"/>
    <w:tmpl w:val="660E91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43ABC"/>
    <w:multiLevelType w:val="hybridMultilevel"/>
    <w:tmpl w:val="F9082B0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CE003EA"/>
    <w:multiLevelType w:val="hybridMultilevel"/>
    <w:tmpl w:val="B82AAFE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13"/>
  </w:num>
  <w:num w:numId="10">
    <w:abstractNumId w:val="0"/>
  </w:num>
  <w:num w:numId="11">
    <w:abstractNumId w:val="10"/>
  </w:num>
  <w:num w:numId="12">
    <w:abstractNumId w:val="3"/>
  </w:num>
  <w:num w:numId="13">
    <w:abstractNumId w:val="4"/>
  </w:num>
  <w:num w:numId="14">
    <w:abstractNumId w:val="12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182"/>
    <w:rsid w:val="000003B3"/>
    <w:rsid w:val="00010DDB"/>
    <w:rsid w:val="00011822"/>
    <w:rsid w:val="000138CE"/>
    <w:rsid w:val="00022705"/>
    <w:rsid w:val="00022757"/>
    <w:rsid w:val="00031A0E"/>
    <w:rsid w:val="00032D2A"/>
    <w:rsid w:val="000338ED"/>
    <w:rsid w:val="00040924"/>
    <w:rsid w:val="00043D32"/>
    <w:rsid w:val="000456CF"/>
    <w:rsid w:val="00050E55"/>
    <w:rsid w:val="00054301"/>
    <w:rsid w:val="000634BB"/>
    <w:rsid w:val="00064661"/>
    <w:rsid w:val="0007357E"/>
    <w:rsid w:val="00091C5B"/>
    <w:rsid w:val="000A695A"/>
    <w:rsid w:val="000B2A28"/>
    <w:rsid w:val="000B2BE5"/>
    <w:rsid w:val="000B5C96"/>
    <w:rsid w:val="000B6F97"/>
    <w:rsid w:val="000C2356"/>
    <w:rsid w:val="000C26CD"/>
    <w:rsid w:val="000C755E"/>
    <w:rsid w:val="000D54DA"/>
    <w:rsid w:val="000F63F1"/>
    <w:rsid w:val="00101970"/>
    <w:rsid w:val="00113B4E"/>
    <w:rsid w:val="001179EB"/>
    <w:rsid w:val="001210D8"/>
    <w:rsid w:val="001221E4"/>
    <w:rsid w:val="00123935"/>
    <w:rsid w:val="0012416F"/>
    <w:rsid w:val="0012661A"/>
    <w:rsid w:val="00130579"/>
    <w:rsid w:val="00141CB6"/>
    <w:rsid w:val="00146CAC"/>
    <w:rsid w:val="001611EF"/>
    <w:rsid w:val="00170510"/>
    <w:rsid w:val="0017333C"/>
    <w:rsid w:val="00177624"/>
    <w:rsid w:val="00177DC2"/>
    <w:rsid w:val="00184549"/>
    <w:rsid w:val="00184AFA"/>
    <w:rsid w:val="0018510C"/>
    <w:rsid w:val="001939D7"/>
    <w:rsid w:val="00194780"/>
    <w:rsid w:val="00196A79"/>
    <w:rsid w:val="001A1FE8"/>
    <w:rsid w:val="001A6EE1"/>
    <w:rsid w:val="001A7FDE"/>
    <w:rsid w:val="001B1961"/>
    <w:rsid w:val="001B2212"/>
    <w:rsid w:val="001B4E85"/>
    <w:rsid w:val="001C1C90"/>
    <w:rsid w:val="001D56C9"/>
    <w:rsid w:val="001D64C1"/>
    <w:rsid w:val="001E3AFB"/>
    <w:rsid w:val="001E5012"/>
    <w:rsid w:val="001F3BF4"/>
    <w:rsid w:val="00201684"/>
    <w:rsid w:val="00203B29"/>
    <w:rsid w:val="0020792F"/>
    <w:rsid w:val="00214ADF"/>
    <w:rsid w:val="00214C88"/>
    <w:rsid w:val="0021534C"/>
    <w:rsid w:val="00216645"/>
    <w:rsid w:val="00220AC9"/>
    <w:rsid w:val="00223AC9"/>
    <w:rsid w:val="00223EEC"/>
    <w:rsid w:val="00230093"/>
    <w:rsid w:val="00235BF0"/>
    <w:rsid w:val="00251209"/>
    <w:rsid w:val="00257B46"/>
    <w:rsid w:val="00270F16"/>
    <w:rsid w:val="002710B6"/>
    <w:rsid w:val="002814EC"/>
    <w:rsid w:val="00284482"/>
    <w:rsid w:val="00285DE6"/>
    <w:rsid w:val="002866A3"/>
    <w:rsid w:val="00295879"/>
    <w:rsid w:val="00297A53"/>
    <w:rsid w:val="002A03EB"/>
    <w:rsid w:val="002A1312"/>
    <w:rsid w:val="002A2AE2"/>
    <w:rsid w:val="002A3223"/>
    <w:rsid w:val="002A3842"/>
    <w:rsid w:val="002B40D5"/>
    <w:rsid w:val="002B42CE"/>
    <w:rsid w:val="002C076F"/>
    <w:rsid w:val="002C3FA0"/>
    <w:rsid w:val="002D12D1"/>
    <w:rsid w:val="002E272E"/>
    <w:rsid w:val="00307D4D"/>
    <w:rsid w:val="003125F7"/>
    <w:rsid w:val="00313BD8"/>
    <w:rsid w:val="00315065"/>
    <w:rsid w:val="003211BA"/>
    <w:rsid w:val="00323BA1"/>
    <w:rsid w:val="0032516B"/>
    <w:rsid w:val="0032625C"/>
    <w:rsid w:val="00333762"/>
    <w:rsid w:val="00345526"/>
    <w:rsid w:val="00353390"/>
    <w:rsid w:val="003554DF"/>
    <w:rsid w:val="00362559"/>
    <w:rsid w:val="00373B66"/>
    <w:rsid w:val="00380286"/>
    <w:rsid w:val="00391C8B"/>
    <w:rsid w:val="003A19E6"/>
    <w:rsid w:val="003A2262"/>
    <w:rsid w:val="003B1F6F"/>
    <w:rsid w:val="003C74B7"/>
    <w:rsid w:val="003C769E"/>
    <w:rsid w:val="003D6678"/>
    <w:rsid w:val="003E53EA"/>
    <w:rsid w:val="003E669A"/>
    <w:rsid w:val="003E7D71"/>
    <w:rsid w:val="0041196A"/>
    <w:rsid w:val="004157FF"/>
    <w:rsid w:val="00444D7F"/>
    <w:rsid w:val="00457A3E"/>
    <w:rsid w:val="004718D8"/>
    <w:rsid w:val="00472583"/>
    <w:rsid w:val="00477AB3"/>
    <w:rsid w:val="0048279F"/>
    <w:rsid w:val="0048415F"/>
    <w:rsid w:val="004851B9"/>
    <w:rsid w:val="00486511"/>
    <w:rsid w:val="0049632E"/>
    <w:rsid w:val="00497CA8"/>
    <w:rsid w:val="004A62CA"/>
    <w:rsid w:val="004B1C41"/>
    <w:rsid w:val="004C4309"/>
    <w:rsid w:val="004D1145"/>
    <w:rsid w:val="004E458D"/>
    <w:rsid w:val="004F06C3"/>
    <w:rsid w:val="004F295E"/>
    <w:rsid w:val="004F3FFD"/>
    <w:rsid w:val="004F6515"/>
    <w:rsid w:val="0050131E"/>
    <w:rsid w:val="00504378"/>
    <w:rsid w:val="00506030"/>
    <w:rsid w:val="0051757E"/>
    <w:rsid w:val="005259B7"/>
    <w:rsid w:val="005261FB"/>
    <w:rsid w:val="00531B55"/>
    <w:rsid w:val="00540535"/>
    <w:rsid w:val="005449F3"/>
    <w:rsid w:val="00545D1F"/>
    <w:rsid w:val="00547526"/>
    <w:rsid w:val="00551202"/>
    <w:rsid w:val="00553848"/>
    <w:rsid w:val="0056154C"/>
    <w:rsid w:val="005678F7"/>
    <w:rsid w:val="00571F60"/>
    <w:rsid w:val="00573444"/>
    <w:rsid w:val="005937C8"/>
    <w:rsid w:val="005945AB"/>
    <w:rsid w:val="005B405C"/>
    <w:rsid w:val="005B425D"/>
    <w:rsid w:val="005B58E2"/>
    <w:rsid w:val="005D5E94"/>
    <w:rsid w:val="005E27CE"/>
    <w:rsid w:val="005E52B4"/>
    <w:rsid w:val="005E672A"/>
    <w:rsid w:val="005F35B2"/>
    <w:rsid w:val="005F66A8"/>
    <w:rsid w:val="00604F11"/>
    <w:rsid w:val="00606093"/>
    <w:rsid w:val="00610467"/>
    <w:rsid w:val="00615EF6"/>
    <w:rsid w:val="00621FFE"/>
    <w:rsid w:val="0063356A"/>
    <w:rsid w:val="00636F1F"/>
    <w:rsid w:val="006418E6"/>
    <w:rsid w:val="00657F36"/>
    <w:rsid w:val="00661D04"/>
    <w:rsid w:val="0066565F"/>
    <w:rsid w:val="00687E53"/>
    <w:rsid w:val="00691F53"/>
    <w:rsid w:val="006A52D3"/>
    <w:rsid w:val="006C33E6"/>
    <w:rsid w:val="006C345B"/>
    <w:rsid w:val="006C6908"/>
    <w:rsid w:val="006E68C4"/>
    <w:rsid w:val="006F09B6"/>
    <w:rsid w:val="006F3195"/>
    <w:rsid w:val="006F343B"/>
    <w:rsid w:val="006F54D8"/>
    <w:rsid w:val="00703B68"/>
    <w:rsid w:val="00705F9D"/>
    <w:rsid w:val="00714341"/>
    <w:rsid w:val="00715A21"/>
    <w:rsid w:val="007220E8"/>
    <w:rsid w:val="0072299A"/>
    <w:rsid w:val="007233D0"/>
    <w:rsid w:val="00744B4C"/>
    <w:rsid w:val="0074752F"/>
    <w:rsid w:val="00747B9D"/>
    <w:rsid w:val="00755470"/>
    <w:rsid w:val="00762778"/>
    <w:rsid w:val="00763214"/>
    <w:rsid w:val="00766A55"/>
    <w:rsid w:val="00785182"/>
    <w:rsid w:val="00790DE8"/>
    <w:rsid w:val="007931DA"/>
    <w:rsid w:val="007A22AA"/>
    <w:rsid w:val="007B400D"/>
    <w:rsid w:val="007C628B"/>
    <w:rsid w:val="007E135B"/>
    <w:rsid w:val="007E6407"/>
    <w:rsid w:val="007E6DB5"/>
    <w:rsid w:val="008108DB"/>
    <w:rsid w:val="008300E3"/>
    <w:rsid w:val="0084519C"/>
    <w:rsid w:val="00850557"/>
    <w:rsid w:val="00862B10"/>
    <w:rsid w:val="00874B16"/>
    <w:rsid w:val="00875B9B"/>
    <w:rsid w:val="00876BE9"/>
    <w:rsid w:val="00877856"/>
    <w:rsid w:val="00883D9F"/>
    <w:rsid w:val="00884560"/>
    <w:rsid w:val="0089022D"/>
    <w:rsid w:val="008A3492"/>
    <w:rsid w:val="008A784D"/>
    <w:rsid w:val="008B1FF1"/>
    <w:rsid w:val="008C027D"/>
    <w:rsid w:val="008C0864"/>
    <w:rsid w:val="008C7B9B"/>
    <w:rsid w:val="008D14E8"/>
    <w:rsid w:val="008E3B3E"/>
    <w:rsid w:val="008F1DD5"/>
    <w:rsid w:val="008F76C3"/>
    <w:rsid w:val="009032DF"/>
    <w:rsid w:val="0090438C"/>
    <w:rsid w:val="009051D6"/>
    <w:rsid w:val="00912E47"/>
    <w:rsid w:val="00916933"/>
    <w:rsid w:val="00923957"/>
    <w:rsid w:val="0094150C"/>
    <w:rsid w:val="009451BE"/>
    <w:rsid w:val="009477AD"/>
    <w:rsid w:val="00954326"/>
    <w:rsid w:val="00956AD0"/>
    <w:rsid w:val="00957073"/>
    <w:rsid w:val="00960E7B"/>
    <w:rsid w:val="009754CB"/>
    <w:rsid w:val="009836B8"/>
    <w:rsid w:val="009A00BA"/>
    <w:rsid w:val="009A6EB6"/>
    <w:rsid w:val="009A7122"/>
    <w:rsid w:val="009B0E11"/>
    <w:rsid w:val="009B46C5"/>
    <w:rsid w:val="009B6493"/>
    <w:rsid w:val="009C00DF"/>
    <w:rsid w:val="009C3257"/>
    <w:rsid w:val="009C32AB"/>
    <w:rsid w:val="009C4C12"/>
    <w:rsid w:val="009C5281"/>
    <w:rsid w:val="009C7A39"/>
    <w:rsid w:val="009D0456"/>
    <w:rsid w:val="009D196F"/>
    <w:rsid w:val="009D2F67"/>
    <w:rsid w:val="009F1731"/>
    <w:rsid w:val="00A21989"/>
    <w:rsid w:val="00A239FE"/>
    <w:rsid w:val="00A4208F"/>
    <w:rsid w:val="00A630BD"/>
    <w:rsid w:val="00A6549D"/>
    <w:rsid w:val="00A765FE"/>
    <w:rsid w:val="00A77418"/>
    <w:rsid w:val="00A80870"/>
    <w:rsid w:val="00A81DD4"/>
    <w:rsid w:val="00A840DF"/>
    <w:rsid w:val="00A9072E"/>
    <w:rsid w:val="00AA0D72"/>
    <w:rsid w:val="00AB1A00"/>
    <w:rsid w:val="00AB387F"/>
    <w:rsid w:val="00AD1C83"/>
    <w:rsid w:val="00AD6F15"/>
    <w:rsid w:val="00AE0B4B"/>
    <w:rsid w:val="00AE0FB7"/>
    <w:rsid w:val="00AF3926"/>
    <w:rsid w:val="00AF3AB3"/>
    <w:rsid w:val="00B20C53"/>
    <w:rsid w:val="00B34B7B"/>
    <w:rsid w:val="00B420D0"/>
    <w:rsid w:val="00B610AD"/>
    <w:rsid w:val="00B65AB5"/>
    <w:rsid w:val="00B72962"/>
    <w:rsid w:val="00B76DA3"/>
    <w:rsid w:val="00B76FD3"/>
    <w:rsid w:val="00B803D9"/>
    <w:rsid w:val="00BA0712"/>
    <w:rsid w:val="00BB04B0"/>
    <w:rsid w:val="00BB28AF"/>
    <w:rsid w:val="00BB4041"/>
    <w:rsid w:val="00BB5ACB"/>
    <w:rsid w:val="00BB68F4"/>
    <w:rsid w:val="00BC2767"/>
    <w:rsid w:val="00BC2F8C"/>
    <w:rsid w:val="00BD4679"/>
    <w:rsid w:val="00BE22C2"/>
    <w:rsid w:val="00BE402D"/>
    <w:rsid w:val="00BF1545"/>
    <w:rsid w:val="00BF47AB"/>
    <w:rsid w:val="00BF7D56"/>
    <w:rsid w:val="00C031A7"/>
    <w:rsid w:val="00C124C8"/>
    <w:rsid w:val="00C14A09"/>
    <w:rsid w:val="00C16D94"/>
    <w:rsid w:val="00C217D2"/>
    <w:rsid w:val="00C2307B"/>
    <w:rsid w:val="00C3792B"/>
    <w:rsid w:val="00C63EF8"/>
    <w:rsid w:val="00C704F3"/>
    <w:rsid w:val="00C77D1F"/>
    <w:rsid w:val="00C91FB4"/>
    <w:rsid w:val="00C92B65"/>
    <w:rsid w:val="00C94ED6"/>
    <w:rsid w:val="00CA2B5A"/>
    <w:rsid w:val="00CA7431"/>
    <w:rsid w:val="00CE1A6E"/>
    <w:rsid w:val="00CE1E09"/>
    <w:rsid w:val="00CE79FB"/>
    <w:rsid w:val="00CF1831"/>
    <w:rsid w:val="00CF2B13"/>
    <w:rsid w:val="00CF7B8E"/>
    <w:rsid w:val="00D006EA"/>
    <w:rsid w:val="00D01DD5"/>
    <w:rsid w:val="00D05232"/>
    <w:rsid w:val="00D11BF2"/>
    <w:rsid w:val="00D12910"/>
    <w:rsid w:val="00D14359"/>
    <w:rsid w:val="00D200EF"/>
    <w:rsid w:val="00D20DF8"/>
    <w:rsid w:val="00D31065"/>
    <w:rsid w:val="00D36EA5"/>
    <w:rsid w:val="00D457D6"/>
    <w:rsid w:val="00D545AA"/>
    <w:rsid w:val="00D5599B"/>
    <w:rsid w:val="00D614F9"/>
    <w:rsid w:val="00D6429E"/>
    <w:rsid w:val="00D70CB1"/>
    <w:rsid w:val="00D7312D"/>
    <w:rsid w:val="00D752C6"/>
    <w:rsid w:val="00D8718D"/>
    <w:rsid w:val="00D94E7B"/>
    <w:rsid w:val="00DA4843"/>
    <w:rsid w:val="00DB1488"/>
    <w:rsid w:val="00DB3D6D"/>
    <w:rsid w:val="00DD10D7"/>
    <w:rsid w:val="00DD2ABE"/>
    <w:rsid w:val="00DD3B14"/>
    <w:rsid w:val="00DD4897"/>
    <w:rsid w:val="00DE3A9C"/>
    <w:rsid w:val="00DE710D"/>
    <w:rsid w:val="00E0240B"/>
    <w:rsid w:val="00E124D3"/>
    <w:rsid w:val="00E26534"/>
    <w:rsid w:val="00E324B7"/>
    <w:rsid w:val="00E516E7"/>
    <w:rsid w:val="00E62674"/>
    <w:rsid w:val="00E84B37"/>
    <w:rsid w:val="00E84F91"/>
    <w:rsid w:val="00E86677"/>
    <w:rsid w:val="00EA4C67"/>
    <w:rsid w:val="00EA532E"/>
    <w:rsid w:val="00EB1941"/>
    <w:rsid w:val="00EB68D8"/>
    <w:rsid w:val="00EC5884"/>
    <w:rsid w:val="00ED37B9"/>
    <w:rsid w:val="00EE39F2"/>
    <w:rsid w:val="00EF5C62"/>
    <w:rsid w:val="00EF5F68"/>
    <w:rsid w:val="00F14790"/>
    <w:rsid w:val="00F154A7"/>
    <w:rsid w:val="00F22144"/>
    <w:rsid w:val="00F22561"/>
    <w:rsid w:val="00F27432"/>
    <w:rsid w:val="00F31ACD"/>
    <w:rsid w:val="00F46B43"/>
    <w:rsid w:val="00F65EEC"/>
    <w:rsid w:val="00F67202"/>
    <w:rsid w:val="00F67809"/>
    <w:rsid w:val="00F71765"/>
    <w:rsid w:val="00F73C8F"/>
    <w:rsid w:val="00F74C19"/>
    <w:rsid w:val="00F76947"/>
    <w:rsid w:val="00F83CE9"/>
    <w:rsid w:val="00F84923"/>
    <w:rsid w:val="00F9015B"/>
    <w:rsid w:val="00F91741"/>
    <w:rsid w:val="00F924D6"/>
    <w:rsid w:val="00F93315"/>
    <w:rsid w:val="00F9392D"/>
    <w:rsid w:val="00F9581C"/>
    <w:rsid w:val="00FA3728"/>
    <w:rsid w:val="00FA7B0E"/>
    <w:rsid w:val="00FB2C29"/>
    <w:rsid w:val="00FB4D41"/>
    <w:rsid w:val="00FB4D6C"/>
    <w:rsid w:val="00FC1670"/>
    <w:rsid w:val="00FE72C1"/>
    <w:rsid w:val="00FE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39D7"/>
  <w15:docId w15:val="{CB86FFEF-FF74-4A29-A966-3F57EA03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8AF"/>
  </w:style>
  <w:style w:type="paragraph" w:styleId="Heading1">
    <w:name w:val="heading 1"/>
    <w:basedOn w:val="Normal"/>
    <w:next w:val="Normal"/>
    <w:link w:val="Heading1Char"/>
    <w:qFormat/>
    <w:rsid w:val="00230093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1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30093"/>
    <w:rPr>
      <w:rFonts w:ascii="Times New Roman" w:eastAsia="Times New Roman" w:hAnsi="Times New Roman" w:cs="Times New Roman"/>
      <w:b/>
      <w:caps/>
      <w:sz w:val="24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2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0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E55"/>
  </w:style>
  <w:style w:type="paragraph" w:styleId="Footer">
    <w:name w:val="footer"/>
    <w:basedOn w:val="Normal"/>
    <w:link w:val="FooterChar"/>
    <w:uiPriority w:val="99"/>
    <w:unhideWhenUsed/>
    <w:rsid w:val="00050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E55"/>
  </w:style>
  <w:style w:type="paragraph" w:styleId="CommentText">
    <w:name w:val="annotation text"/>
    <w:basedOn w:val="Normal"/>
    <w:link w:val="CommentTextChar"/>
    <w:rsid w:val="001B1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CommentTextChar">
    <w:name w:val="Comment Text Char"/>
    <w:basedOn w:val="DefaultParagraphFont"/>
    <w:link w:val="CommentText"/>
    <w:rsid w:val="001B1961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CommentReference">
    <w:name w:val="annotation reference"/>
    <w:rsid w:val="001B1961"/>
    <w:rPr>
      <w:sz w:val="16"/>
      <w:szCs w:val="16"/>
    </w:rPr>
  </w:style>
  <w:style w:type="character" w:customStyle="1" w:styleId="Bodytext">
    <w:name w:val="Body text_"/>
    <w:basedOn w:val="DefaultParagraphFont"/>
    <w:link w:val="BodyText5"/>
    <w:rsid w:val="00A7741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8ptItalic">
    <w:name w:val="Body text + 8 pt;Italic"/>
    <w:basedOn w:val="Bodytext"/>
    <w:rsid w:val="00A7741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bg-BG" w:eastAsia="bg-BG" w:bidi="bg-BG"/>
    </w:rPr>
  </w:style>
  <w:style w:type="character" w:customStyle="1" w:styleId="Bodytext8pt">
    <w:name w:val="Body text + 8 pt"/>
    <w:basedOn w:val="Bodytext"/>
    <w:rsid w:val="00A77418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bg-BG" w:eastAsia="bg-BG" w:bidi="bg-BG"/>
    </w:rPr>
  </w:style>
  <w:style w:type="character" w:customStyle="1" w:styleId="Bodytext8ptBold">
    <w:name w:val="Body text + 8 pt;Bold"/>
    <w:basedOn w:val="Bodytext"/>
    <w:rsid w:val="00A7741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bg-BG" w:eastAsia="bg-BG" w:bidi="bg-BG"/>
    </w:rPr>
  </w:style>
  <w:style w:type="paragraph" w:customStyle="1" w:styleId="BodyText5">
    <w:name w:val="Body Text5"/>
    <w:basedOn w:val="Normal"/>
    <w:link w:val="Bodytext"/>
    <w:rsid w:val="00A77418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1">
    <w:name w:val="Body Text1"/>
    <w:basedOn w:val="Bodytext"/>
    <w:rsid w:val="00BF47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bg-BG" w:eastAsia="bg-BG" w:bidi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F6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F68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4128C-BA5D-428C-BC00-19B8FAB89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6</Pages>
  <Words>2454</Words>
  <Characters>13992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Емил Нургалиев</dc:creator>
  <cp:lastModifiedBy>Diana Stankulova</cp:lastModifiedBy>
  <cp:revision>169</cp:revision>
  <cp:lastPrinted>2022-03-08T10:09:00Z</cp:lastPrinted>
  <dcterms:created xsi:type="dcterms:W3CDTF">2021-03-02T12:16:00Z</dcterms:created>
  <dcterms:modified xsi:type="dcterms:W3CDTF">2025-09-30T06:27:00Z</dcterms:modified>
</cp:coreProperties>
</file>